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B9A19" w14:textId="45C674CC" w:rsidR="00154CBC" w:rsidRPr="00956F29" w:rsidRDefault="00956F29" w:rsidP="001F0B6E">
      <w:pPr>
        <w:jc w:val="center"/>
        <w:rPr>
          <w:b/>
          <w:noProof/>
          <w:sz w:val="28"/>
          <w:szCs w:val="28"/>
          <w:lang w:val="en-US"/>
        </w:rPr>
      </w:pPr>
      <w:r w:rsidRPr="00956F29">
        <w:rPr>
          <w:b/>
          <w:noProof/>
          <w:sz w:val="28"/>
          <w:szCs w:val="28"/>
          <w:lang w:val="en-US"/>
        </w:rPr>
        <w:t>Evansburg/ Wildwood Facilities Review</w:t>
      </w:r>
    </w:p>
    <w:p w14:paraId="697B8FDF" w14:textId="40804B90" w:rsidR="00956F29" w:rsidRPr="00956F29" w:rsidRDefault="00956F29" w:rsidP="001F0B6E">
      <w:pPr>
        <w:jc w:val="center"/>
        <w:rPr>
          <w:b/>
          <w:sz w:val="28"/>
          <w:szCs w:val="28"/>
        </w:rPr>
      </w:pPr>
      <w:r w:rsidRPr="00956F29">
        <w:rPr>
          <w:b/>
          <w:noProof/>
          <w:sz w:val="28"/>
          <w:szCs w:val="28"/>
          <w:lang w:val="en-US"/>
        </w:rPr>
        <w:t>Option Evaluation Session – September 19 and 20, 2018</w:t>
      </w:r>
    </w:p>
    <w:p w14:paraId="2EFD48CB" w14:textId="4310AB9C" w:rsidR="00154CBC" w:rsidRPr="00956F29" w:rsidRDefault="00154CBC" w:rsidP="00154CBC">
      <w:pPr>
        <w:widowControl w:val="0"/>
        <w:autoSpaceDE w:val="0"/>
        <w:autoSpaceDN w:val="0"/>
        <w:adjustRightInd w:val="0"/>
        <w:spacing w:line="280" w:lineRule="atLeast"/>
        <w:rPr>
          <w:rFonts w:cs="Times"/>
          <w:sz w:val="28"/>
          <w:szCs w:val="28"/>
          <w:lang w:val="en-US"/>
        </w:rPr>
      </w:pPr>
      <w:r w:rsidRPr="00956F29">
        <w:rPr>
          <w:rFonts w:cs="Times"/>
          <w:sz w:val="28"/>
          <w:szCs w:val="28"/>
          <w:lang w:val="en-US"/>
        </w:rPr>
        <w:t xml:space="preserve"> </w:t>
      </w:r>
    </w:p>
    <w:p w14:paraId="6E689CBA" w14:textId="2DB4D07D" w:rsidR="00F20281" w:rsidRPr="003C7672" w:rsidRDefault="00210714" w:rsidP="00956F29">
      <w:pPr>
        <w:widowControl w:val="0"/>
        <w:autoSpaceDE w:val="0"/>
        <w:autoSpaceDN w:val="0"/>
        <w:adjustRightInd w:val="0"/>
        <w:spacing w:after="240" w:line="300" w:lineRule="atLeast"/>
        <w:rPr>
          <w:rFonts w:cs="Arial"/>
          <w:sz w:val="22"/>
          <w:szCs w:val="22"/>
          <w:lang w:val="en-US"/>
        </w:rPr>
      </w:pPr>
      <w:r w:rsidRPr="003C7672">
        <w:rPr>
          <w:rFonts w:cs="Arial"/>
          <w:sz w:val="22"/>
          <w:szCs w:val="22"/>
          <w:lang w:val="en-US"/>
        </w:rPr>
        <w:t xml:space="preserve">Grande </w:t>
      </w:r>
      <w:proofErr w:type="spellStart"/>
      <w:r w:rsidRPr="003C7672">
        <w:rPr>
          <w:rFonts w:cs="Arial"/>
          <w:sz w:val="22"/>
          <w:szCs w:val="22"/>
          <w:lang w:val="en-US"/>
        </w:rPr>
        <w:t>Yellowhead</w:t>
      </w:r>
      <w:proofErr w:type="spellEnd"/>
      <w:r w:rsidRPr="003C7672">
        <w:rPr>
          <w:rFonts w:cs="Arial"/>
          <w:sz w:val="22"/>
          <w:szCs w:val="22"/>
          <w:lang w:val="en-US"/>
        </w:rPr>
        <w:t xml:space="preserve"> Public School Division (GYPSD) is conducting a review of three of our facilities in the </w:t>
      </w:r>
      <w:proofErr w:type="spellStart"/>
      <w:r w:rsidRPr="003C7672">
        <w:rPr>
          <w:rFonts w:cs="Arial"/>
          <w:sz w:val="22"/>
          <w:szCs w:val="22"/>
          <w:lang w:val="en-US"/>
        </w:rPr>
        <w:t>Lobstick</w:t>
      </w:r>
      <w:proofErr w:type="spellEnd"/>
      <w:r w:rsidRPr="003C7672">
        <w:rPr>
          <w:rFonts w:cs="Arial"/>
          <w:sz w:val="22"/>
          <w:szCs w:val="22"/>
          <w:lang w:val="en-US"/>
        </w:rPr>
        <w:t xml:space="preserve"> zone: </w:t>
      </w:r>
      <w:proofErr w:type="spellStart"/>
      <w:r w:rsidRPr="003C7672">
        <w:rPr>
          <w:rFonts w:cs="Arial"/>
          <w:sz w:val="22"/>
          <w:szCs w:val="22"/>
          <w:lang w:val="en-US"/>
        </w:rPr>
        <w:t>Evansview</w:t>
      </w:r>
      <w:proofErr w:type="spellEnd"/>
      <w:r w:rsidRPr="003C7672">
        <w:rPr>
          <w:rFonts w:cs="Arial"/>
          <w:sz w:val="22"/>
          <w:szCs w:val="22"/>
          <w:lang w:val="en-US"/>
        </w:rPr>
        <w:t xml:space="preserve"> School and Grand Trunk High School in </w:t>
      </w:r>
      <w:proofErr w:type="spellStart"/>
      <w:r w:rsidRPr="003C7672">
        <w:rPr>
          <w:rFonts w:cs="Arial"/>
          <w:sz w:val="22"/>
          <w:szCs w:val="22"/>
          <w:lang w:val="en-US"/>
        </w:rPr>
        <w:t>Evansburg</w:t>
      </w:r>
      <w:proofErr w:type="spellEnd"/>
      <w:r w:rsidRPr="003C7672">
        <w:rPr>
          <w:rFonts w:cs="Arial"/>
          <w:sz w:val="22"/>
          <w:szCs w:val="22"/>
          <w:lang w:val="en-US"/>
        </w:rPr>
        <w:t xml:space="preserve"> and Wildwood School in Wildwood. The goal of this review is to determine how we can provide the best learning environment and educational programs for the students of Wildwood and </w:t>
      </w:r>
      <w:proofErr w:type="spellStart"/>
      <w:r w:rsidRPr="003C7672">
        <w:rPr>
          <w:rFonts w:cs="Arial"/>
          <w:sz w:val="22"/>
          <w:szCs w:val="22"/>
          <w:lang w:val="en-US"/>
        </w:rPr>
        <w:t>Evansburg</w:t>
      </w:r>
      <w:proofErr w:type="spellEnd"/>
      <w:r w:rsidRPr="003C7672">
        <w:rPr>
          <w:rFonts w:cs="Arial"/>
          <w:sz w:val="22"/>
          <w:szCs w:val="22"/>
          <w:lang w:val="en-US"/>
        </w:rPr>
        <w:t xml:space="preserve">, given the resources available. </w:t>
      </w:r>
    </w:p>
    <w:p w14:paraId="71B6B1EB" w14:textId="760B81A4" w:rsidR="00727E2D" w:rsidRPr="003C7672" w:rsidRDefault="00727E2D" w:rsidP="00956F29">
      <w:pPr>
        <w:rPr>
          <w:rFonts w:eastAsia="Times New Roman" w:cs="Times New Roman"/>
          <w:sz w:val="22"/>
          <w:szCs w:val="22"/>
          <w:lang w:val="en-US"/>
        </w:rPr>
      </w:pPr>
      <w:r w:rsidRPr="003C7672">
        <w:rPr>
          <w:rFonts w:eastAsia="Times New Roman" w:cs="Arial"/>
          <w:sz w:val="22"/>
          <w:szCs w:val="22"/>
          <w:shd w:val="clear" w:color="auto" w:fill="FFFFFF"/>
          <w:lang w:val="en-US"/>
        </w:rPr>
        <w:t>At the June Engagement Sessions, the community requested a number of pieces of information to assist in their evaluation of the school facility options. This document contains the general information requested.  Information related to specific options is available at the option stations.</w:t>
      </w:r>
    </w:p>
    <w:p w14:paraId="32795475" w14:textId="77777777" w:rsidR="00727E2D" w:rsidRPr="00956F29" w:rsidRDefault="00727E2D" w:rsidP="00727E2D">
      <w:pPr>
        <w:rPr>
          <w:rFonts w:eastAsia="Times New Roman" w:cs="Times New Roman"/>
          <w:lang w:val="en-US"/>
        </w:rPr>
      </w:pPr>
    </w:p>
    <w:p w14:paraId="64D5B0CD" w14:textId="65754BBA" w:rsidR="00C11F55" w:rsidRPr="00035572" w:rsidRDefault="00E44A8D">
      <w:pPr>
        <w:rPr>
          <w:b/>
          <w:color w:val="5B9BD5" w:themeColor="accent1"/>
        </w:rPr>
      </w:pPr>
      <w:r w:rsidRPr="00035572">
        <w:rPr>
          <w:b/>
          <w:color w:val="5B9BD5" w:themeColor="accent1"/>
        </w:rPr>
        <w:t>Demographics</w:t>
      </w:r>
    </w:p>
    <w:p w14:paraId="13863F8C" w14:textId="44512F2B" w:rsidR="00E44A8D" w:rsidRPr="003C7672" w:rsidRDefault="00CF78D9" w:rsidP="00E44A8D">
      <w:pPr>
        <w:pStyle w:val="ListParagraph"/>
        <w:numPr>
          <w:ilvl w:val="0"/>
          <w:numId w:val="6"/>
        </w:numPr>
        <w:rPr>
          <w:sz w:val="22"/>
          <w:szCs w:val="22"/>
        </w:rPr>
      </w:pPr>
      <w:r w:rsidRPr="003C7672">
        <w:rPr>
          <w:sz w:val="22"/>
          <w:szCs w:val="22"/>
        </w:rPr>
        <w:t xml:space="preserve">The population </w:t>
      </w:r>
      <w:r w:rsidR="00475087" w:rsidRPr="003C7672">
        <w:rPr>
          <w:sz w:val="22"/>
          <w:szCs w:val="22"/>
        </w:rPr>
        <w:t>i</w:t>
      </w:r>
      <w:r w:rsidR="00F20281" w:rsidRPr="003C7672">
        <w:rPr>
          <w:sz w:val="22"/>
          <w:szCs w:val="22"/>
        </w:rPr>
        <w:t xml:space="preserve">n both hamlets has declined </w:t>
      </w:r>
      <w:r w:rsidR="00727E2D" w:rsidRPr="003C7672">
        <w:rPr>
          <w:sz w:val="22"/>
          <w:szCs w:val="22"/>
        </w:rPr>
        <w:t xml:space="preserve">significantly </w:t>
      </w:r>
      <w:r w:rsidR="00F20281" w:rsidRPr="003C7672">
        <w:rPr>
          <w:sz w:val="22"/>
          <w:szCs w:val="22"/>
        </w:rPr>
        <w:t>in the last decade</w:t>
      </w:r>
    </w:p>
    <w:p w14:paraId="70BF9B44" w14:textId="1C853FE9" w:rsidR="00F20281" w:rsidRPr="003C7672" w:rsidRDefault="00AD356E" w:rsidP="00E44A8D">
      <w:pPr>
        <w:pStyle w:val="ListParagraph"/>
        <w:numPr>
          <w:ilvl w:val="0"/>
          <w:numId w:val="6"/>
        </w:numPr>
        <w:rPr>
          <w:sz w:val="22"/>
          <w:szCs w:val="22"/>
        </w:rPr>
      </w:pPr>
      <w:r w:rsidRPr="003C7672">
        <w:rPr>
          <w:sz w:val="22"/>
          <w:szCs w:val="22"/>
        </w:rPr>
        <w:t xml:space="preserve">The census reports a population decline in </w:t>
      </w:r>
      <w:proofErr w:type="spellStart"/>
      <w:r w:rsidRPr="003C7672">
        <w:rPr>
          <w:sz w:val="22"/>
          <w:szCs w:val="22"/>
        </w:rPr>
        <w:t>E</w:t>
      </w:r>
      <w:r w:rsidR="00F20281" w:rsidRPr="003C7672">
        <w:rPr>
          <w:sz w:val="22"/>
          <w:szCs w:val="22"/>
        </w:rPr>
        <w:t>vansburg</w:t>
      </w:r>
      <w:proofErr w:type="spellEnd"/>
      <w:r w:rsidR="00F20281" w:rsidRPr="003C7672">
        <w:rPr>
          <w:sz w:val="22"/>
          <w:szCs w:val="22"/>
        </w:rPr>
        <w:t xml:space="preserve"> of nearly 10 per cent between 2011 and 2016</w:t>
      </w:r>
      <w:r w:rsidRPr="003C7672">
        <w:rPr>
          <w:sz w:val="22"/>
          <w:szCs w:val="22"/>
        </w:rPr>
        <w:t>, falling from 880 residents to 795</w:t>
      </w:r>
    </w:p>
    <w:p w14:paraId="374B7932" w14:textId="0C574BBB" w:rsidR="00E44A8D" w:rsidRPr="003C7672" w:rsidRDefault="00727E2D" w:rsidP="00427196">
      <w:pPr>
        <w:pStyle w:val="ListParagraph"/>
        <w:numPr>
          <w:ilvl w:val="0"/>
          <w:numId w:val="6"/>
        </w:numPr>
        <w:rPr>
          <w:sz w:val="22"/>
          <w:szCs w:val="22"/>
        </w:rPr>
      </w:pPr>
      <w:r w:rsidRPr="003C7672">
        <w:rPr>
          <w:sz w:val="22"/>
          <w:szCs w:val="22"/>
        </w:rPr>
        <w:t xml:space="preserve">During the same timeframe, </w:t>
      </w:r>
      <w:r w:rsidR="00F20281" w:rsidRPr="003C7672">
        <w:rPr>
          <w:sz w:val="22"/>
          <w:szCs w:val="22"/>
        </w:rPr>
        <w:t>Wildwood’s popul</w:t>
      </w:r>
      <w:r w:rsidRPr="003C7672">
        <w:rPr>
          <w:sz w:val="22"/>
          <w:szCs w:val="22"/>
        </w:rPr>
        <w:t>ation has decreased by roughly 7 per cent, falling from 294 to 277</w:t>
      </w:r>
    </w:p>
    <w:p w14:paraId="0C00F26B" w14:textId="77777777" w:rsidR="00427196" w:rsidRPr="003C7672" w:rsidRDefault="00427196" w:rsidP="00C731D7">
      <w:pPr>
        <w:pStyle w:val="ListParagraph"/>
        <w:rPr>
          <w:sz w:val="22"/>
          <w:szCs w:val="22"/>
        </w:rPr>
      </w:pPr>
    </w:p>
    <w:tbl>
      <w:tblPr>
        <w:tblStyle w:val="TableGrid"/>
        <w:tblW w:w="0" w:type="auto"/>
        <w:jc w:val="center"/>
        <w:tblLook w:val="04A0" w:firstRow="1" w:lastRow="0" w:firstColumn="1" w:lastColumn="0" w:noHBand="0" w:noVBand="1"/>
      </w:tblPr>
      <w:tblGrid>
        <w:gridCol w:w="3138"/>
        <w:gridCol w:w="2567"/>
        <w:gridCol w:w="2628"/>
      </w:tblGrid>
      <w:tr w:rsidR="001F0B6E" w:rsidRPr="003C7672" w14:paraId="41B38DFB" w14:textId="77777777" w:rsidTr="00035572">
        <w:trPr>
          <w:trHeight w:val="562"/>
          <w:jc w:val="center"/>
        </w:trPr>
        <w:tc>
          <w:tcPr>
            <w:tcW w:w="3138" w:type="dxa"/>
          </w:tcPr>
          <w:p w14:paraId="43B25ADD" w14:textId="77364E80" w:rsidR="00146546" w:rsidRPr="00035572" w:rsidRDefault="00146546" w:rsidP="00035572">
            <w:pPr>
              <w:jc w:val="center"/>
              <w:rPr>
                <w:b/>
                <w:sz w:val="22"/>
                <w:szCs w:val="22"/>
              </w:rPr>
            </w:pPr>
            <w:r w:rsidRPr="00035572">
              <w:rPr>
                <w:b/>
                <w:sz w:val="22"/>
                <w:szCs w:val="22"/>
              </w:rPr>
              <w:t>2016 Census Data on School Aged Children</w:t>
            </w:r>
          </w:p>
        </w:tc>
        <w:tc>
          <w:tcPr>
            <w:tcW w:w="2567" w:type="dxa"/>
          </w:tcPr>
          <w:p w14:paraId="2C54A4A8" w14:textId="4E19DE18" w:rsidR="001F0B6E" w:rsidRPr="00035572" w:rsidRDefault="001F0B6E" w:rsidP="00035572">
            <w:pPr>
              <w:jc w:val="center"/>
              <w:rPr>
                <w:b/>
                <w:sz w:val="22"/>
                <w:szCs w:val="22"/>
              </w:rPr>
            </w:pPr>
            <w:r w:rsidRPr="00035572">
              <w:rPr>
                <w:b/>
                <w:sz w:val="22"/>
                <w:szCs w:val="22"/>
              </w:rPr>
              <w:t>Wildwood</w:t>
            </w:r>
          </w:p>
        </w:tc>
        <w:tc>
          <w:tcPr>
            <w:tcW w:w="2628" w:type="dxa"/>
          </w:tcPr>
          <w:p w14:paraId="463D88BD" w14:textId="516A2E83" w:rsidR="001F0B6E" w:rsidRPr="00035572" w:rsidRDefault="001F0B6E" w:rsidP="00035572">
            <w:pPr>
              <w:jc w:val="center"/>
              <w:rPr>
                <w:b/>
                <w:sz w:val="22"/>
                <w:szCs w:val="22"/>
              </w:rPr>
            </w:pPr>
            <w:proofErr w:type="spellStart"/>
            <w:r w:rsidRPr="00035572">
              <w:rPr>
                <w:b/>
                <w:sz w:val="22"/>
                <w:szCs w:val="22"/>
              </w:rPr>
              <w:t>Evansburg</w:t>
            </w:r>
            <w:proofErr w:type="spellEnd"/>
          </w:p>
        </w:tc>
      </w:tr>
      <w:tr w:rsidR="001F0B6E" w:rsidRPr="003C7672" w14:paraId="1406DA19" w14:textId="77777777" w:rsidTr="00035572">
        <w:trPr>
          <w:trHeight w:val="289"/>
          <w:jc w:val="center"/>
        </w:trPr>
        <w:tc>
          <w:tcPr>
            <w:tcW w:w="3138" w:type="dxa"/>
          </w:tcPr>
          <w:p w14:paraId="205AAF6D" w14:textId="791A4523" w:rsidR="001F0B6E" w:rsidRPr="003C7672" w:rsidRDefault="001F0B6E" w:rsidP="00E94F39">
            <w:pPr>
              <w:rPr>
                <w:sz w:val="22"/>
                <w:szCs w:val="22"/>
              </w:rPr>
            </w:pPr>
            <w:r w:rsidRPr="003C7672">
              <w:rPr>
                <w:sz w:val="22"/>
                <w:szCs w:val="22"/>
              </w:rPr>
              <w:t xml:space="preserve">0 to </w:t>
            </w:r>
            <w:r w:rsidR="00E94F39" w:rsidRPr="003C7672">
              <w:rPr>
                <w:sz w:val="22"/>
                <w:szCs w:val="22"/>
              </w:rPr>
              <w:t>4</w:t>
            </w:r>
          </w:p>
        </w:tc>
        <w:tc>
          <w:tcPr>
            <w:tcW w:w="2567" w:type="dxa"/>
          </w:tcPr>
          <w:p w14:paraId="5208A8E3" w14:textId="77B756F8" w:rsidR="001F0B6E" w:rsidRPr="003C7672" w:rsidRDefault="00E94F39">
            <w:pPr>
              <w:rPr>
                <w:sz w:val="22"/>
                <w:szCs w:val="22"/>
              </w:rPr>
            </w:pPr>
            <w:r w:rsidRPr="003C7672">
              <w:rPr>
                <w:sz w:val="22"/>
                <w:szCs w:val="22"/>
              </w:rPr>
              <w:t>10</w:t>
            </w:r>
          </w:p>
        </w:tc>
        <w:tc>
          <w:tcPr>
            <w:tcW w:w="2628" w:type="dxa"/>
          </w:tcPr>
          <w:p w14:paraId="3143E076" w14:textId="2D59E5D9" w:rsidR="001F0B6E" w:rsidRPr="003C7672" w:rsidRDefault="00E94F39">
            <w:pPr>
              <w:rPr>
                <w:sz w:val="22"/>
                <w:szCs w:val="22"/>
              </w:rPr>
            </w:pPr>
            <w:r w:rsidRPr="003C7672">
              <w:rPr>
                <w:sz w:val="22"/>
                <w:szCs w:val="22"/>
              </w:rPr>
              <w:t>30</w:t>
            </w:r>
          </w:p>
        </w:tc>
      </w:tr>
      <w:tr w:rsidR="001F0B6E" w:rsidRPr="003C7672" w14:paraId="1E351084" w14:textId="77777777" w:rsidTr="00035572">
        <w:trPr>
          <w:trHeight w:val="333"/>
          <w:jc w:val="center"/>
        </w:trPr>
        <w:tc>
          <w:tcPr>
            <w:tcW w:w="3138" w:type="dxa"/>
          </w:tcPr>
          <w:p w14:paraId="65E9B2A4" w14:textId="31A4B032" w:rsidR="001F0B6E" w:rsidRPr="003C7672" w:rsidRDefault="00E94F39">
            <w:pPr>
              <w:rPr>
                <w:sz w:val="22"/>
                <w:szCs w:val="22"/>
              </w:rPr>
            </w:pPr>
            <w:r w:rsidRPr="003C7672">
              <w:rPr>
                <w:sz w:val="22"/>
                <w:szCs w:val="22"/>
              </w:rPr>
              <w:t>5 to 9</w:t>
            </w:r>
          </w:p>
        </w:tc>
        <w:tc>
          <w:tcPr>
            <w:tcW w:w="2567" w:type="dxa"/>
          </w:tcPr>
          <w:p w14:paraId="51773B4F" w14:textId="4F90635A" w:rsidR="001F0B6E" w:rsidRPr="003C7672" w:rsidRDefault="00E94F39">
            <w:pPr>
              <w:rPr>
                <w:sz w:val="22"/>
                <w:szCs w:val="22"/>
              </w:rPr>
            </w:pPr>
            <w:r w:rsidRPr="003C7672">
              <w:rPr>
                <w:sz w:val="22"/>
                <w:szCs w:val="22"/>
              </w:rPr>
              <w:t>15</w:t>
            </w:r>
          </w:p>
        </w:tc>
        <w:tc>
          <w:tcPr>
            <w:tcW w:w="2628" w:type="dxa"/>
          </w:tcPr>
          <w:p w14:paraId="662B1798" w14:textId="6CD37119" w:rsidR="001F0B6E" w:rsidRPr="003C7672" w:rsidRDefault="00E94F39">
            <w:pPr>
              <w:rPr>
                <w:sz w:val="22"/>
                <w:szCs w:val="22"/>
              </w:rPr>
            </w:pPr>
            <w:r w:rsidRPr="003C7672">
              <w:rPr>
                <w:sz w:val="22"/>
                <w:szCs w:val="22"/>
              </w:rPr>
              <w:t>40</w:t>
            </w:r>
          </w:p>
        </w:tc>
      </w:tr>
      <w:tr w:rsidR="001F0B6E" w:rsidRPr="003C7672" w14:paraId="1DEB8B6C" w14:textId="77777777" w:rsidTr="00035572">
        <w:trPr>
          <w:trHeight w:val="289"/>
          <w:jc w:val="center"/>
        </w:trPr>
        <w:tc>
          <w:tcPr>
            <w:tcW w:w="3138" w:type="dxa"/>
          </w:tcPr>
          <w:p w14:paraId="74C759D0" w14:textId="5720DBA3" w:rsidR="001F0B6E" w:rsidRPr="003C7672" w:rsidRDefault="00E94F39">
            <w:pPr>
              <w:rPr>
                <w:sz w:val="22"/>
                <w:szCs w:val="22"/>
              </w:rPr>
            </w:pPr>
            <w:r w:rsidRPr="003C7672">
              <w:rPr>
                <w:sz w:val="22"/>
                <w:szCs w:val="22"/>
              </w:rPr>
              <w:t>10 to 14</w:t>
            </w:r>
          </w:p>
        </w:tc>
        <w:tc>
          <w:tcPr>
            <w:tcW w:w="2567" w:type="dxa"/>
          </w:tcPr>
          <w:p w14:paraId="1ECD73CE" w14:textId="714045E4" w:rsidR="001F0B6E" w:rsidRPr="003C7672" w:rsidRDefault="00E94F39">
            <w:pPr>
              <w:rPr>
                <w:sz w:val="22"/>
                <w:szCs w:val="22"/>
              </w:rPr>
            </w:pPr>
            <w:r w:rsidRPr="003C7672">
              <w:rPr>
                <w:sz w:val="22"/>
                <w:szCs w:val="22"/>
              </w:rPr>
              <w:t>20</w:t>
            </w:r>
          </w:p>
        </w:tc>
        <w:tc>
          <w:tcPr>
            <w:tcW w:w="2628" w:type="dxa"/>
          </w:tcPr>
          <w:p w14:paraId="4AE06766" w14:textId="06A6BFED" w:rsidR="001F0B6E" w:rsidRPr="003C7672" w:rsidRDefault="00E94F39">
            <w:pPr>
              <w:rPr>
                <w:sz w:val="22"/>
                <w:szCs w:val="22"/>
              </w:rPr>
            </w:pPr>
            <w:r w:rsidRPr="003C7672">
              <w:rPr>
                <w:sz w:val="22"/>
                <w:szCs w:val="22"/>
              </w:rPr>
              <w:t xml:space="preserve">40 </w:t>
            </w:r>
          </w:p>
        </w:tc>
      </w:tr>
      <w:tr w:rsidR="001F0B6E" w:rsidRPr="003C7672" w14:paraId="201E867B" w14:textId="77777777" w:rsidTr="00035572">
        <w:trPr>
          <w:trHeight w:val="243"/>
          <w:jc w:val="center"/>
        </w:trPr>
        <w:tc>
          <w:tcPr>
            <w:tcW w:w="3138" w:type="dxa"/>
          </w:tcPr>
          <w:p w14:paraId="70508021" w14:textId="6FE63D53" w:rsidR="00E94F39" w:rsidRPr="003C7672" w:rsidRDefault="00E94F39">
            <w:pPr>
              <w:rPr>
                <w:sz w:val="22"/>
                <w:szCs w:val="22"/>
              </w:rPr>
            </w:pPr>
            <w:r w:rsidRPr="003C7672">
              <w:rPr>
                <w:sz w:val="22"/>
                <w:szCs w:val="22"/>
              </w:rPr>
              <w:t xml:space="preserve">15 to 19 </w:t>
            </w:r>
            <w:r w:rsidR="001F0B6E" w:rsidRPr="003C7672">
              <w:rPr>
                <w:sz w:val="22"/>
                <w:szCs w:val="22"/>
              </w:rPr>
              <w:t xml:space="preserve"> </w:t>
            </w:r>
          </w:p>
        </w:tc>
        <w:tc>
          <w:tcPr>
            <w:tcW w:w="2567" w:type="dxa"/>
          </w:tcPr>
          <w:p w14:paraId="5B506048" w14:textId="49C61FA2" w:rsidR="001F0B6E" w:rsidRPr="003C7672" w:rsidRDefault="00E94F39">
            <w:pPr>
              <w:rPr>
                <w:sz w:val="22"/>
                <w:szCs w:val="22"/>
              </w:rPr>
            </w:pPr>
            <w:r w:rsidRPr="003C7672">
              <w:rPr>
                <w:sz w:val="22"/>
                <w:szCs w:val="22"/>
              </w:rPr>
              <w:t>15</w:t>
            </w:r>
          </w:p>
        </w:tc>
        <w:tc>
          <w:tcPr>
            <w:tcW w:w="2628" w:type="dxa"/>
          </w:tcPr>
          <w:p w14:paraId="358A9262" w14:textId="461D93AE" w:rsidR="001F0B6E" w:rsidRPr="003C7672" w:rsidRDefault="00E94F39">
            <w:pPr>
              <w:rPr>
                <w:sz w:val="22"/>
                <w:szCs w:val="22"/>
              </w:rPr>
            </w:pPr>
            <w:r w:rsidRPr="003C7672">
              <w:rPr>
                <w:sz w:val="22"/>
                <w:szCs w:val="22"/>
              </w:rPr>
              <w:t>40</w:t>
            </w:r>
          </w:p>
        </w:tc>
      </w:tr>
    </w:tbl>
    <w:p w14:paraId="4D9057CC" w14:textId="1F2EC3CF" w:rsidR="001F0B6E" w:rsidRDefault="001F0B6E">
      <w:pPr>
        <w:rPr>
          <w:sz w:val="22"/>
          <w:szCs w:val="22"/>
        </w:rPr>
      </w:pPr>
    </w:p>
    <w:p w14:paraId="601AA3C1" w14:textId="0690F275" w:rsidR="00035572" w:rsidRDefault="00035572">
      <w:pPr>
        <w:rPr>
          <w:sz w:val="22"/>
          <w:szCs w:val="22"/>
        </w:rPr>
      </w:pPr>
      <w:r w:rsidRPr="00956F29">
        <w:rPr>
          <w:b/>
          <w:color w:val="5B9BD5" w:themeColor="accent1"/>
        </w:rPr>
        <w:t>Enrolment</w:t>
      </w:r>
      <w:r>
        <w:rPr>
          <w:b/>
          <w:color w:val="5B9BD5" w:themeColor="accent1"/>
        </w:rPr>
        <w:t xml:space="preserve">  </w:t>
      </w:r>
    </w:p>
    <w:p w14:paraId="5FE7133B" w14:textId="6F57637F" w:rsidR="00E44A8D" w:rsidRDefault="00035572" w:rsidP="00035572">
      <w:pPr>
        <w:jc w:val="center"/>
        <w:rPr>
          <w:b/>
          <w:color w:val="5B9BD5" w:themeColor="accent1"/>
        </w:rPr>
      </w:pPr>
      <w:r w:rsidRPr="00956F29">
        <w:rPr>
          <w:noProof/>
          <w:sz w:val="20"/>
          <w:szCs w:val="20"/>
          <w:lang w:val="en-US"/>
        </w:rPr>
        <w:drawing>
          <wp:inline distT="0" distB="0" distL="0" distR="0" wp14:anchorId="653AB3A4" wp14:editId="284C52A4">
            <wp:extent cx="5238750" cy="3143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DE5792" w14:textId="02F5E9C6" w:rsidR="00956F29" w:rsidRPr="00956F29" w:rsidRDefault="00956F29">
      <w:pPr>
        <w:rPr>
          <w:b/>
          <w:color w:val="5B9BD5" w:themeColor="accent1"/>
        </w:rPr>
      </w:pPr>
    </w:p>
    <w:p w14:paraId="7F66C1EE" w14:textId="77777777" w:rsidR="003C7672" w:rsidRPr="003C7672" w:rsidRDefault="003C7672" w:rsidP="003C7672">
      <w:pPr>
        <w:ind w:left="360"/>
        <w:rPr>
          <w:sz w:val="20"/>
          <w:szCs w:val="20"/>
        </w:rPr>
      </w:pPr>
    </w:p>
    <w:p w14:paraId="18FE0DB7" w14:textId="421B007A" w:rsidR="003C7672" w:rsidRDefault="003C7672" w:rsidP="003C7672">
      <w:pPr>
        <w:ind w:left="360"/>
        <w:rPr>
          <w:sz w:val="20"/>
          <w:szCs w:val="20"/>
        </w:rPr>
      </w:pPr>
      <w:r w:rsidRPr="003C7672">
        <w:rPr>
          <w:sz w:val="20"/>
          <w:szCs w:val="20"/>
        </w:rPr>
        <w:t xml:space="preserve">*Future enrolment projections </w:t>
      </w:r>
      <w:proofErr w:type="gramStart"/>
      <w:r w:rsidRPr="003C7672">
        <w:rPr>
          <w:sz w:val="20"/>
          <w:szCs w:val="20"/>
        </w:rPr>
        <w:t>are not expected</w:t>
      </w:r>
      <w:proofErr w:type="gramEnd"/>
      <w:r w:rsidRPr="003C7672">
        <w:rPr>
          <w:sz w:val="20"/>
          <w:szCs w:val="20"/>
        </w:rPr>
        <w:t xml:space="preserve"> to change</w:t>
      </w:r>
    </w:p>
    <w:p w14:paraId="20EE1C18" w14:textId="77777777" w:rsidR="003C7672" w:rsidRPr="003C7672" w:rsidRDefault="003C7672" w:rsidP="003C7672">
      <w:pPr>
        <w:ind w:left="360"/>
        <w:rPr>
          <w:sz w:val="20"/>
          <w:szCs w:val="20"/>
        </w:rPr>
      </w:pPr>
    </w:p>
    <w:p w14:paraId="64279680" w14:textId="6ADB719A" w:rsidR="00044BCF" w:rsidRDefault="00044BCF" w:rsidP="00044BCF">
      <w:pPr>
        <w:ind w:left="360"/>
        <w:rPr>
          <w:i/>
          <w:sz w:val="22"/>
          <w:szCs w:val="22"/>
        </w:rPr>
      </w:pPr>
      <w:r w:rsidRPr="00044BCF">
        <w:rPr>
          <w:b/>
          <w:sz w:val="22"/>
          <w:szCs w:val="22"/>
        </w:rPr>
        <w:t>Enrolment</w:t>
      </w:r>
      <w:r w:rsidRPr="00044BCF">
        <w:rPr>
          <w:sz w:val="22"/>
          <w:szCs w:val="22"/>
        </w:rPr>
        <w:t xml:space="preserve">, </w:t>
      </w:r>
      <w:r>
        <w:rPr>
          <w:i/>
          <w:sz w:val="22"/>
          <w:szCs w:val="22"/>
        </w:rPr>
        <w:t>continued</w:t>
      </w:r>
    </w:p>
    <w:p w14:paraId="7FA2002D" w14:textId="77777777" w:rsidR="00044BCF" w:rsidRPr="00044BCF" w:rsidRDefault="00044BCF" w:rsidP="00044BCF">
      <w:pPr>
        <w:ind w:left="360"/>
        <w:rPr>
          <w:sz w:val="22"/>
          <w:szCs w:val="22"/>
        </w:rPr>
      </w:pPr>
    </w:p>
    <w:p w14:paraId="0421442E" w14:textId="4E09AC66" w:rsidR="00096962" w:rsidRPr="00035572" w:rsidRDefault="00684578" w:rsidP="00096962">
      <w:pPr>
        <w:pStyle w:val="ListParagraph"/>
        <w:numPr>
          <w:ilvl w:val="0"/>
          <w:numId w:val="6"/>
        </w:numPr>
        <w:rPr>
          <w:sz w:val="22"/>
          <w:szCs w:val="22"/>
        </w:rPr>
      </w:pPr>
      <w:r w:rsidRPr="00035572">
        <w:rPr>
          <w:sz w:val="22"/>
          <w:szCs w:val="22"/>
        </w:rPr>
        <w:t xml:space="preserve">Enrolment </w:t>
      </w:r>
      <w:r w:rsidR="00096962" w:rsidRPr="00035572">
        <w:rPr>
          <w:sz w:val="22"/>
          <w:szCs w:val="22"/>
        </w:rPr>
        <w:t>is in decline at all three schools</w:t>
      </w:r>
    </w:p>
    <w:p w14:paraId="6E234151" w14:textId="0303DE03" w:rsidR="00AD356E" w:rsidRPr="00035572" w:rsidRDefault="00D10336" w:rsidP="00096962">
      <w:pPr>
        <w:pStyle w:val="ListParagraph"/>
        <w:numPr>
          <w:ilvl w:val="0"/>
          <w:numId w:val="6"/>
        </w:numPr>
        <w:rPr>
          <w:sz w:val="22"/>
          <w:szCs w:val="22"/>
        </w:rPr>
      </w:pPr>
      <w:r w:rsidRPr="00035572">
        <w:rPr>
          <w:sz w:val="22"/>
          <w:szCs w:val="22"/>
        </w:rPr>
        <w:t>From 2007 to 2017</w:t>
      </w:r>
      <w:r w:rsidR="00AD356E" w:rsidRPr="00035572">
        <w:rPr>
          <w:sz w:val="22"/>
          <w:szCs w:val="22"/>
        </w:rPr>
        <w:t>:</w:t>
      </w:r>
    </w:p>
    <w:p w14:paraId="7DE6A4BE" w14:textId="267E6E2D" w:rsidR="00AD356E" w:rsidRPr="00035572" w:rsidRDefault="00AD356E" w:rsidP="00096962">
      <w:pPr>
        <w:pStyle w:val="ListParagraph"/>
        <w:numPr>
          <w:ilvl w:val="1"/>
          <w:numId w:val="6"/>
        </w:numPr>
        <w:rPr>
          <w:sz w:val="22"/>
          <w:szCs w:val="22"/>
        </w:rPr>
      </w:pPr>
      <w:r w:rsidRPr="00035572">
        <w:rPr>
          <w:sz w:val="22"/>
          <w:szCs w:val="22"/>
        </w:rPr>
        <w:t xml:space="preserve">the </w:t>
      </w:r>
      <w:r w:rsidR="00956F29" w:rsidRPr="00035572">
        <w:rPr>
          <w:sz w:val="22"/>
          <w:szCs w:val="22"/>
        </w:rPr>
        <w:t>enrolment</w:t>
      </w:r>
      <w:r w:rsidRPr="00035572">
        <w:rPr>
          <w:sz w:val="22"/>
          <w:szCs w:val="22"/>
        </w:rPr>
        <w:t xml:space="preserve"> for all three schools has gone from 471 students down to 376; a decline of 20 per cent overall</w:t>
      </w:r>
    </w:p>
    <w:p w14:paraId="0D455EC0" w14:textId="2587649E" w:rsidR="00AD356E" w:rsidRPr="00035572" w:rsidRDefault="00AD356E" w:rsidP="00096962">
      <w:pPr>
        <w:pStyle w:val="ListParagraph"/>
        <w:numPr>
          <w:ilvl w:val="1"/>
          <w:numId w:val="6"/>
        </w:numPr>
        <w:rPr>
          <w:sz w:val="22"/>
          <w:szCs w:val="22"/>
        </w:rPr>
      </w:pPr>
      <w:r w:rsidRPr="00035572">
        <w:rPr>
          <w:sz w:val="22"/>
          <w:szCs w:val="22"/>
        </w:rPr>
        <w:t xml:space="preserve">the </w:t>
      </w:r>
      <w:r w:rsidR="00956F29" w:rsidRPr="00035572">
        <w:rPr>
          <w:sz w:val="22"/>
          <w:szCs w:val="22"/>
        </w:rPr>
        <w:t>enrolment</w:t>
      </w:r>
      <w:r w:rsidRPr="00035572">
        <w:rPr>
          <w:sz w:val="22"/>
          <w:szCs w:val="22"/>
        </w:rPr>
        <w:t xml:space="preserve"> at Wildwood </w:t>
      </w:r>
      <w:r w:rsidR="00956F29" w:rsidRPr="00035572">
        <w:rPr>
          <w:sz w:val="22"/>
          <w:szCs w:val="22"/>
        </w:rPr>
        <w:t xml:space="preserve">School </w:t>
      </w:r>
      <w:r w:rsidRPr="00035572">
        <w:rPr>
          <w:sz w:val="22"/>
          <w:szCs w:val="22"/>
        </w:rPr>
        <w:t>has dropped from 124 students to 107; a decline of 14 per cent</w:t>
      </w:r>
    </w:p>
    <w:p w14:paraId="703B1F2E" w14:textId="326ABEE6" w:rsidR="00427196" w:rsidRPr="00035572" w:rsidRDefault="00AD356E" w:rsidP="00427196">
      <w:pPr>
        <w:pStyle w:val="ListParagraph"/>
        <w:numPr>
          <w:ilvl w:val="1"/>
          <w:numId w:val="6"/>
        </w:numPr>
        <w:rPr>
          <w:sz w:val="22"/>
          <w:szCs w:val="22"/>
        </w:rPr>
      </w:pPr>
      <w:r w:rsidRPr="00035572">
        <w:rPr>
          <w:sz w:val="22"/>
          <w:szCs w:val="22"/>
        </w:rPr>
        <w:t xml:space="preserve">the </w:t>
      </w:r>
      <w:r w:rsidR="00044BCF">
        <w:rPr>
          <w:sz w:val="22"/>
          <w:szCs w:val="22"/>
        </w:rPr>
        <w:t>enrolment</w:t>
      </w:r>
      <w:r w:rsidRPr="00035572">
        <w:rPr>
          <w:sz w:val="22"/>
          <w:szCs w:val="22"/>
        </w:rPr>
        <w:t xml:space="preserve"> of </w:t>
      </w:r>
      <w:proofErr w:type="spellStart"/>
      <w:r w:rsidRPr="00035572">
        <w:rPr>
          <w:sz w:val="22"/>
          <w:szCs w:val="22"/>
        </w:rPr>
        <w:t>Evansburg</w:t>
      </w:r>
      <w:proofErr w:type="spellEnd"/>
      <w:r w:rsidRPr="00035572">
        <w:rPr>
          <w:sz w:val="22"/>
          <w:szCs w:val="22"/>
        </w:rPr>
        <w:t xml:space="preserve"> schools ha</w:t>
      </w:r>
      <w:r w:rsidR="00956F29" w:rsidRPr="00035572">
        <w:rPr>
          <w:sz w:val="22"/>
          <w:szCs w:val="22"/>
        </w:rPr>
        <w:t>ve</w:t>
      </w:r>
      <w:r w:rsidRPr="00035572">
        <w:rPr>
          <w:sz w:val="22"/>
          <w:szCs w:val="22"/>
        </w:rPr>
        <w:t xml:space="preserve"> dropped from 347 to 269; a decline of 22.5 per cent </w:t>
      </w:r>
    </w:p>
    <w:p w14:paraId="264C4BC5" w14:textId="004396DF" w:rsidR="007A3468" w:rsidRPr="00035572" w:rsidRDefault="007A3468" w:rsidP="00427196">
      <w:pPr>
        <w:pStyle w:val="ListParagraph"/>
        <w:numPr>
          <w:ilvl w:val="0"/>
          <w:numId w:val="6"/>
        </w:numPr>
        <w:rPr>
          <w:sz w:val="22"/>
          <w:szCs w:val="22"/>
        </w:rPr>
      </w:pPr>
      <w:r w:rsidRPr="00035572">
        <w:rPr>
          <w:sz w:val="22"/>
          <w:szCs w:val="22"/>
        </w:rPr>
        <w:t xml:space="preserve">Current </w:t>
      </w:r>
      <w:r w:rsidR="00727E2D" w:rsidRPr="00035572">
        <w:rPr>
          <w:sz w:val="22"/>
          <w:szCs w:val="22"/>
        </w:rPr>
        <w:t>enrolments for the 2018/2019 school year</w:t>
      </w:r>
      <w:r w:rsidR="00D10336" w:rsidRPr="00035572">
        <w:rPr>
          <w:sz w:val="22"/>
          <w:szCs w:val="22"/>
        </w:rPr>
        <w:t xml:space="preserve"> (as of September 11, 2018)</w:t>
      </w:r>
    </w:p>
    <w:p w14:paraId="58037B30" w14:textId="7757D2EA" w:rsidR="007A3468" w:rsidRPr="00035572" w:rsidRDefault="007A3468" w:rsidP="007A3468">
      <w:pPr>
        <w:pStyle w:val="ListParagraph"/>
        <w:numPr>
          <w:ilvl w:val="1"/>
          <w:numId w:val="6"/>
        </w:numPr>
        <w:rPr>
          <w:sz w:val="22"/>
          <w:szCs w:val="22"/>
        </w:rPr>
      </w:pPr>
      <w:proofErr w:type="spellStart"/>
      <w:r w:rsidRPr="00035572">
        <w:rPr>
          <w:sz w:val="22"/>
          <w:szCs w:val="22"/>
        </w:rPr>
        <w:t>Evansview</w:t>
      </w:r>
      <w:proofErr w:type="spellEnd"/>
      <w:r w:rsidRPr="00035572">
        <w:rPr>
          <w:sz w:val="22"/>
          <w:szCs w:val="22"/>
        </w:rPr>
        <w:t>:</w:t>
      </w:r>
      <w:r w:rsidR="00AD356E" w:rsidRPr="00035572">
        <w:rPr>
          <w:sz w:val="22"/>
          <w:szCs w:val="22"/>
        </w:rPr>
        <w:t xml:space="preserve"> 122</w:t>
      </w:r>
    </w:p>
    <w:p w14:paraId="5EF04BEB" w14:textId="048A032E" w:rsidR="007A3468" w:rsidRPr="00035572" w:rsidRDefault="004D07D1" w:rsidP="007A3468">
      <w:pPr>
        <w:pStyle w:val="ListParagraph"/>
        <w:numPr>
          <w:ilvl w:val="1"/>
          <w:numId w:val="6"/>
        </w:numPr>
        <w:rPr>
          <w:sz w:val="22"/>
          <w:szCs w:val="22"/>
        </w:rPr>
      </w:pPr>
      <w:r w:rsidRPr="00035572">
        <w:rPr>
          <w:sz w:val="22"/>
          <w:szCs w:val="22"/>
        </w:rPr>
        <w:t>Grand Trunk:</w:t>
      </w:r>
      <w:r w:rsidR="007628FB" w:rsidRPr="00035572">
        <w:rPr>
          <w:sz w:val="22"/>
          <w:szCs w:val="22"/>
        </w:rPr>
        <w:t xml:space="preserve"> 157</w:t>
      </w:r>
    </w:p>
    <w:p w14:paraId="7D099A4B" w14:textId="552EC273" w:rsidR="004D07D1" w:rsidRPr="00035572" w:rsidRDefault="004D07D1" w:rsidP="007A3468">
      <w:pPr>
        <w:pStyle w:val="ListParagraph"/>
        <w:numPr>
          <w:ilvl w:val="1"/>
          <w:numId w:val="6"/>
        </w:numPr>
        <w:rPr>
          <w:sz w:val="22"/>
          <w:szCs w:val="22"/>
        </w:rPr>
      </w:pPr>
      <w:r w:rsidRPr="00035572">
        <w:rPr>
          <w:sz w:val="22"/>
          <w:szCs w:val="22"/>
        </w:rPr>
        <w:t>Wildwood:</w:t>
      </w:r>
      <w:r w:rsidR="00AD356E" w:rsidRPr="00035572">
        <w:rPr>
          <w:sz w:val="22"/>
          <w:szCs w:val="22"/>
        </w:rPr>
        <w:t xml:space="preserve"> 105</w:t>
      </w:r>
    </w:p>
    <w:p w14:paraId="346AEE86" w14:textId="40A3907D" w:rsidR="00ED34DA" w:rsidRPr="00035572" w:rsidRDefault="00ED34DA" w:rsidP="00956F29">
      <w:pPr>
        <w:jc w:val="center"/>
        <w:rPr>
          <w:sz w:val="22"/>
          <w:szCs w:val="22"/>
        </w:rPr>
      </w:pPr>
    </w:p>
    <w:p w14:paraId="27B6B541" w14:textId="5315716D" w:rsidR="00E44A8D" w:rsidRPr="00035572" w:rsidRDefault="00956F29" w:rsidP="00E44A8D">
      <w:pPr>
        <w:rPr>
          <w:b/>
          <w:color w:val="5B9BD5" w:themeColor="accent1"/>
        </w:rPr>
      </w:pPr>
      <w:r w:rsidRPr="00035572">
        <w:rPr>
          <w:b/>
          <w:color w:val="5B9BD5" w:themeColor="accent1"/>
        </w:rPr>
        <w:t>U</w:t>
      </w:r>
      <w:r w:rsidR="00E44A8D" w:rsidRPr="00035572">
        <w:rPr>
          <w:b/>
          <w:color w:val="5B9BD5" w:themeColor="accent1"/>
        </w:rPr>
        <w:t>se of School Space by Partners</w:t>
      </w:r>
    </w:p>
    <w:p w14:paraId="275444BF" w14:textId="5CC24021" w:rsidR="00E44A8D" w:rsidRPr="00035572" w:rsidRDefault="00E44A8D" w:rsidP="00580D0E">
      <w:pPr>
        <w:pStyle w:val="ListParagraph"/>
        <w:numPr>
          <w:ilvl w:val="0"/>
          <w:numId w:val="8"/>
        </w:numPr>
        <w:rPr>
          <w:sz w:val="22"/>
          <w:szCs w:val="22"/>
        </w:rPr>
      </w:pPr>
      <w:r w:rsidRPr="00035572">
        <w:rPr>
          <w:sz w:val="22"/>
          <w:szCs w:val="22"/>
        </w:rPr>
        <w:t xml:space="preserve">Alberta Education </w:t>
      </w:r>
      <w:r w:rsidR="00951CAA" w:rsidRPr="00035572">
        <w:rPr>
          <w:sz w:val="22"/>
          <w:szCs w:val="22"/>
        </w:rPr>
        <w:t>will not fund the building of new space for partners unless they contribute financially to the construction</w:t>
      </w:r>
    </w:p>
    <w:p w14:paraId="259FBDC0" w14:textId="49699C8C" w:rsidR="00580D0E" w:rsidRPr="00035572" w:rsidRDefault="00580D0E" w:rsidP="00580D0E">
      <w:pPr>
        <w:pStyle w:val="ListParagraph"/>
        <w:numPr>
          <w:ilvl w:val="0"/>
          <w:numId w:val="8"/>
        </w:numPr>
        <w:rPr>
          <w:sz w:val="22"/>
          <w:szCs w:val="22"/>
        </w:rPr>
      </w:pPr>
      <w:r w:rsidRPr="00035572">
        <w:rPr>
          <w:sz w:val="22"/>
          <w:szCs w:val="22"/>
        </w:rPr>
        <w:t>Alberta Educat</w:t>
      </w:r>
      <w:r w:rsidR="00B4457A" w:rsidRPr="00035572">
        <w:rPr>
          <w:sz w:val="22"/>
          <w:szCs w:val="22"/>
        </w:rPr>
        <w:t>ion will</w:t>
      </w:r>
      <w:r w:rsidRPr="00035572">
        <w:rPr>
          <w:sz w:val="22"/>
          <w:szCs w:val="22"/>
        </w:rPr>
        <w:t xml:space="preserve"> not fund the maintenance and operation of these new space</w:t>
      </w:r>
      <w:r w:rsidR="00B4457A" w:rsidRPr="00035572">
        <w:rPr>
          <w:sz w:val="22"/>
          <w:szCs w:val="22"/>
        </w:rPr>
        <w:t>s</w:t>
      </w:r>
    </w:p>
    <w:p w14:paraId="159649BE" w14:textId="0209543C" w:rsidR="00580D0E" w:rsidRPr="00035572" w:rsidRDefault="00580D0E" w:rsidP="00DD7B5E">
      <w:pPr>
        <w:pStyle w:val="ListParagraph"/>
        <w:numPr>
          <w:ilvl w:val="0"/>
          <w:numId w:val="8"/>
        </w:numPr>
        <w:rPr>
          <w:sz w:val="22"/>
          <w:szCs w:val="22"/>
        </w:rPr>
      </w:pPr>
      <w:r w:rsidRPr="00035572">
        <w:rPr>
          <w:sz w:val="22"/>
          <w:szCs w:val="22"/>
        </w:rPr>
        <w:t xml:space="preserve">In existing buildings, the </w:t>
      </w:r>
      <w:r w:rsidR="00956F29" w:rsidRPr="00035572">
        <w:rPr>
          <w:sz w:val="22"/>
          <w:szCs w:val="22"/>
        </w:rPr>
        <w:t>s</w:t>
      </w:r>
      <w:r w:rsidRPr="00035572">
        <w:rPr>
          <w:sz w:val="22"/>
          <w:szCs w:val="22"/>
        </w:rPr>
        <w:t xml:space="preserve">chool </w:t>
      </w:r>
      <w:r w:rsidR="00956F29" w:rsidRPr="00035572">
        <w:rPr>
          <w:sz w:val="22"/>
          <w:szCs w:val="22"/>
        </w:rPr>
        <w:t>b</w:t>
      </w:r>
      <w:r w:rsidRPr="00035572">
        <w:rPr>
          <w:sz w:val="22"/>
          <w:szCs w:val="22"/>
        </w:rPr>
        <w:t xml:space="preserve">oard determines whether </w:t>
      </w:r>
      <w:r w:rsidR="00956F29" w:rsidRPr="00035572">
        <w:rPr>
          <w:sz w:val="22"/>
          <w:szCs w:val="22"/>
        </w:rPr>
        <w:t xml:space="preserve">there is a cost for </w:t>
      </w:r>
      <w:r w:rsidRPr="00035572">
        <w:rPr>
          <w:sz w:val="22"/>
          <w:szCs w:val="22"/>
        </w:rPr>
        <w:t>partners</w:t>
      </w:r>
      <w:r w:rsidR="00C731D7" w:rsidRPr="00035572">
        <w:rPr>
          <w:sz w:val="22"/>
          <w:szCs w:val="22"/>
        </w:rPr>
        <w:t xml:space="preserve"> to use these spaces:</w:t>
      </w:r>
    </w:p>
    <w:p w14:paraId="606EFE08" w14:textId="193DD2B6" w:rsidR="00580D0E" w:rsidRPr="00035572" w:rsidRDefault="00580D0E" w:rsidP="00C731D7">
      <w:pPr>
        <w:pStyle w:val="ListParagraph"/>
        <w:numPr>
          <w:ilvl w:val="1"/>
          <w:numId w:val="13"/>
        </w:numPr>
        <w:rPr>
          <w:sz w:val="22"/>
          <w:szCs w:val="22"/>
        </w:rPr>
      </w:pPr>
      <w:r w:rsidRPr="00035572">
        <w:rPr>
          <w:sz w:val="22"/>
          <w:szCs w:val="22"/>
        </w:rPr>
        <w:t xml:space="preserve">Grand Trunk High School </w:t>
      </w:r>
      <w:r w:rsidR="00044BCF">
        <w:rPr>
          <w:sz w:val="22"/>
          <w:szCs w:val="22"/>
        </w:rPr>
        <w:t>provides</w:t>
      </w:r>
      <w:r w:rsidRPr="00035572">
        <w:rPr>
          <w:sz w:val="22"/>
          <w:szCs w:val="22"/>
        </w:rPr>
        <w:t xml:space="preserve"> space </w:t>
      </w:r>
      <w:r w:rsidR="00044BCF">
        <w:rPr>
          <w:sz w:val="22"/>
          <w:szCs w:val="22"/>
        </w:rPr>
        <w:t>to</w:t>
      </w:r>
      <w:r w:rsidRPr="00035572">
        <w:rPr>
          <w:sz w:val="22"/>
          <w:szCs w:val="22"/>
        </w:rPr>
        <w:t xml:space="preserve"> the </w:t>
      </w:r>
      <w:proofErr w:type="spellStart"/>
      <w:r w:rsidRPr="00035572">
        <w:rPr>
          <w:sz w:val="22"/>
          <w:szCs w:val="22"/>
        </w:rPr>
        <w:t>Lobstick</w:t>
      </w:r>
      <w:proofErr w:type="spellEnd"/>
      <w:r w:rsidRPr="00035572">
        <w:rPr>
          <w:sz w:val="22"/>
          <w:szCs w:val="22"/>
        </w:rPr>
        <w:t xml:space="preserve"> </w:t>
      </w:r>
      <w:r w:rsidR="00956F29" w:rsidRPr="00035572">
        <w:rPr>
          <w:sz w:val="22"/>
          <w:szCs w:val="22"/>
        </w:rPr>
        <w:t>Literacy &amp; Learning Society</w:t>
      </w:r>
      <w:r w:rsidRPr="00035572">
        <w:rPr>
          <w:sz w:val="22"/>
          <w:szCs w:val="22"/>
        </w:rPr>
        <w:t xml:space="preserve"> and the </w:t>
      </w:r>
      <w:proofErr w:type="spellStart"/>
      <w:r w:rsidRPr="00035572">
        <w:rPr>
          <w:sz w:val="22"/>
          <w:szCs w:val="22"/>
        </w:rPr>
        <w:t>Evansburg</w:t>
      </w:r>
      <w:proofErr w:type="spellEnd"/>
      <w:r w:rsidRPr="00035572">
        <w:rPr>
          <w:sz w:val="22"/>
          <w:szCs w:val="22"/>
        </w:rPr>
        <w:t xml:space="preserve"> Public Library at no cost</w:t>
      </w:r>
    </w:p>
    <w:p w14:paraId="6CEE2A0C" w14:textId="7FD5BC2F" w:rsidR="00580D0E" w:rsidRPr="00035572" w:rsidRDefault="00580D0E" w:rsidP="00C731D7">
      <w:pPr>
        <w:pStyle w:val="ListParagraph"/>
        <w:numPr>
          <w:ilvl w:val="1"/>
          <w:numId w:val="13"/>
        </w:numPr>
        <w:rPr>
          <w:sz w:val="22"/>
          <w:szCs w:val="22"/>
        </w:rPr>
      </w:pPr>
      <w:proofErr w:type="spellStart"/>
      <w:r w:rsidRPr="00035572">
        <w:rPr>
          <w:sz w:val="22"/>
          <w:szCs w:val="22"/>
        </w:rPr>
        <w:t>Evansview</w:t>
      </w:r>
      <w:proofErr w:type="spellEnd"/>
      <w:r w:rsidRPr="00035572">
        <w:rPr>
          <w:sz w:val="22"/>
          <w:szCs w:val="22"/>
        </w:rPr>
        <w:t xml:space="preserve"> </w:t>
      </w:r>
      <w:r w:rsidR="00956F29" w:rsidRPr="00035572">
        <w:rPr>
          <w:sz w:val="22"/>
          <w:szCs w:val="22"/>
        </w:rPr>
        <w:t xml:space="preserve">School </w:t>
      </w:r>
      <w:r w:rsidRPr="00035572">
        <w:rPr>
          <w:sz w:val="22"/>
          <w:szCs w:val="22"/>
        </w:rPr>
        <w:t xml:space="preserve">and Wildwood </w:t>
      </w:r>
      <w:r w:rsidR="00956F29" w:rsidRPr="00035572">
        <w:rPr>
          <w:sz w:val="22"/>
          <w:szCs w:val="22"/>
        </w:rPr>
        <w:t xml:space="preserve">School </w:t>
      </w:r>
      <w:r w:rsidRPr="00035572">
        <w:rPr>
          <w:sz w:val="22"/>
          <w:szCs w:val="22"/>
        </w:rPr>
        <w:t xml:space="preserve">each have a playschool, with space </w:t>
      </w:r>
      <w:r w:rsidR="00044BCF">
        <w:rPr>
          <w:sz w:val="22"/>
          <w:szCs w:val="22"/>
        </w:rPr>
        <w:t>provided</w:t>
      </w:r>
      <w:r w:rsidRPr="00035572">
        <w:rPr>
          <w:sz w:val="22"/>
          <w:szCs w:val="22"/>
        </w:rPr>
        <w:t xml:space="preserve"> at no c</w:t>
      </w:r>
      <w:r w:rsidR="00956F29" w:rsidRPr="00035572">
        <w:rPr>
          <w:sz w:val="22"/>
          <w:szCs w:val="22"/>
        </w:rPr>
        <w:t>ost</w:t>
      </w:r>
    </w:p>
    <w:p w14:paraId="6CFCDAAC" w14:textId="275394A6" w:rsidR="00580D0E" w:rsidRPr="00035572" w:rsidRDefault="00580D0E" w:rsidP="00580D0E">
      <w:pPr>
        <w:pStyle w:val="ListParagraph"/>
        <w:numPr>
          <w:ilvl w:val="0"/>
          <w:numId w:val="8"/>
        </w:numPr>
        <w:rPr>
          <w:sz w:val="22"/>
          <w:szCs w:val="22"/>
        </w:rPr>
      </w:pPr>
      <w:r w:rsidRPr="00035572">
        <w:rPr>
          <w:sz w:val="22"/>
          <w:szCs w:val="22"/>
        </w:rPr>
        <w:t xml:space="preserve">If schools are </w:t>
      </w:r>
      <w:r w:rsidR="00956F29" w:rsidRPr="00035572">
        <w:rPr>
          <w:sz w:val="22"/>
          <w:szCs w:val="22"/>
        </w:rPr>
        <w:t>re</w:t>
      </w:r>
      <w:r w:rsidRPr="00035572">
        <w:rPr>
          <w:sz w:val="22"/>
          <w:szCs w:val="22"/>
        </w:rPr>
        <w:t>sized,</w:t>
      </w:r>
      <w:r w:rsidR="00870FCD" w:rsidRPr="00035572">
        <w:rPr>
          <w:sz w:val="22"/>
          <w:szCs w:val="22"/>
        </w:rPr>
        <w:t xml:space="preserve"> there may no longer</w:t>
      </w:r>
      <w:r w:rsidRPr="00035572">
        <w:rPr>
          <w:sz w:val="22"/>
          <w:szCs w:val="22"/>
        </w:rPr>
        <w:t xml:space="preserve"> be space</w:t>
      </w:r>
      <w:r w:rsidR="00870FCD" w:rsidRPr="00035572">
        <w:rPr>
          <w:sz w:val="22"/>
          <w:szCs w:val="22"/>
        </w:rPr>
        <w:t>s available</w:t>
      </w:r>
      <w:r w:rsidRPr="00035572">
        <w:rPr>
          <w:sz w:val="22"/>
          <w:szCs w:val="22"/>
        </w:rPr>
        <w:t xml:space="preserve"> for partners to use </w:t>
      </w:r>
    </w:p>
    <w:p w14:paraId="6D9863BC" w14:textId="77777777" w:rsidR="00E44A8D" w:rsidRPr="00035572" w:rsidRDefault="00E44A8D" w:rsidP="00E44A8D">
      <w:pPr>
        <w:rPr>
          <w:sz w:val="22"/>
          <w:szCs w:val="22"/>
        </w:rPr>
      </w:pPr>
    </w:p>
    <w:p w14:paraId="2BC008B1" w14:textId="34FDAD17" w:rsidR="00B4457A" w:rsidRPr="00035572" w:rsidRDefault="00B4457A" w:rsidP="00E44A8D">
      <w:pPr>
        <w:rPr>
          <w:b/>
          <w:color w:val="5B9BD5" w:themeColor="accent1"/>
        </w:rPr>
      </w:pPr>
      <w:r w:rsidRPr="00035572">
        <w:rPr>
          <w:b/>
          <w:color w:val="5B9BD5" w:themeColor="accent1"/>
        </w:rPr>
        <w:t>School</w:t>
      </w:r>
      <w:r w:rsidR="00C731D7" w:rsidRPr="00035572">
        <w:rPr>
          <w:b/>
          <w:color w:val="5B9BD5" w:themeColor="accent1"/>
        </w:rPr>
        <w:t>s</w:t>
      </w:r>
      <w:r w:rsidRPr="00035572">
        <w:rPr>
          <w:b/>
          <w:color w:val="5B9BD5" w:themeColor="accent1"/>
        </w:rPr>
        <w:t xml:space="preserve"> in Rural Communities</w:t>
      </w:r>
    </w:p>
    <w:p w14:paraId="6412AF81" w14:textId="534919D3" w:rsidR="00B4457A" w:rsidRPr="00035572" w:rsidRDefault="00B4457A" w:rsidP="00B4457A">
      <w:pPr>
        <w:rPr>
          <w:sz w:val="22"/>
          <w:szCs w:val="22"/>
        </w:rPr>
      </w:pPr>
      <w:r w:rsidRPr="00035572">
        <w:rPr>
          <w:sz w:val="22"/>
          <w:szCs w:val="22"/>
        </w:rPr>
        <w:t xml:space="preserve">The </w:t>
      </w:r>
      <w:r w:rsidRPr="00035572">
        <w:rPr>
          <w:i/>
          <w:sz w:val="22"/>
          <w:szCs w:val="22"/>
        </w:rPr>
        <w:t>Impact of School on Rural Communities Study</w:t>
      </w:r>
      <w:r w:rsidRPr="00035572">
        <w:rPr>
          <w:sz w:val="22"/>
          <w:szCs w:val="22"/>
        </w:rPr>
        <w:t xml:space="preserve"> </w:t>
      </w:r>
      <w:proofErr w:type="gramStart"/>
      <w:r w:rsidRPr="00035572">
        <w:rPr>
          <w:sz w:val="22"/>
          <w:szCs w:val="22"/>
        </w:rPr>
        <w:t>was commissioned</w:t>
      </w:r>
      <w:proofErr w:type="gramEnd"/>
      <w:r w:rsidRPr="00035572">
        <w:rPr>
          <w:sz w:val="22"/>
          <w:szCs w:val="22"/>
        </w:rPr>
        <w:t xml:space="preserve"> by Alberta Education, Alberta Municipal Affairs</w:t>
      </w:r>
      <w:r w:rsidR="00956F29" w:rsidRPr="00035572">
        <w:rPr>
          <w:sz w:val="22"/>
          <w:szCs w:val="22"/>
        </w:rPr>
        <w:t>,</w:t>
      </w:r>
      <w:r w:rsidRPr="00035572">
        <w:rPr>
          <w:sz w:val="22"/>
          <w:szCs w:val="22"/>
        </w:rPr>
        <w:t xml:space="preserve"> and Alberta Agriculture and Forestry to understand the challenges, opportunities and impacts of schools in Albert</w:t>
      </w:r>
      <w:r w:rsidR="00956F29" w:rsidRPr="00035572">
        <w:rPr>
          <w:sz w:val="22"/>
          <w:szCs w:val="22"/>
        </w:rPr>
        <w:t>a</w:t>
      </w:r>
      <w:r w:rsidRPr="00035572">
        <w:rPr>
          <w:sz w:val="22"/>
          <w:szCs w:val="22"/>
        </w:rPr>
        <w:t xml:space="preserve"> rural communities.  </w:t>
      </w:r>
      <w:proofErr w:type="gramStart"/>
      <w:r w:rsidRPr="00035572">
        <w:rPr>
          <w:sz w:val="22"/>
          <w:szCs w:val="22"/>
        </w:rPr>
        <w:t>Six case studies were presented by a consortium of researchers</w:t>
      </w:r>
      <w:proofErr w:type="gramEnd"/>
      <w:r w:rsidRPr="00035572">
        <w:rPr>
          <w:sz w:val="22"/>
          <w:szCs w:val="22"/>
        </w:rPr>
        <w:t xml:space="preserve"> from </w:t>
      </w:r>
      <w:proofErr w:type="spellStart"/>
      <w:r w:rsidRPr="00035572">
        <w:rPr>
          <w:sz w:val="22"/>
          <w:szCs w:val="22"/>
        </w:rPr>
        <w:t>Schollie</w:t>
      </w:r>
      <w:proofErr w:type="spellEnd"/>
      <w:r w:rsidRPr="00035572">
        <w:rPr>
          <w:sz w:val="22"/>
          <w:szCs w:val="22"/>
        </w:rPr>
        <w:t xml:space="preserve"> Research &amp; Consulting and the College of Alberta School Superintendents in March 2017</w:t>
      </w:r>
      <w:r w:rsidR="00956F29" w:rsidRPr="00035572">
        <w:rPr>
          <w:sz w:val="22"/>
          <w:szCs w:val="22"/>
        </w:rPr>
        <w:t>.</w:t>
      </w:r>
      <w:r w:rsidRPr="00035572">
        <w:rPr>
          <w:sz w:val="22"/>
          <w:szCs w:val="22"/>
        </w:rPr>
        <w:t xml:space="preserve"> </w:t>
      </w:r>
    </w:p>
    <w:p w14:paraId="3BE3D45C" w14:textId="77777777" w:rsidR="00B4457A" w:rsidRPr="00035572" w:rsidRDefault="00B4457A" w:rsidP="00B4457A">
      <w:pPr>
        <w:rPr>
          <w:sz w:val="22"/>
          <w:szCs w:val="22"/>
        </w:rPr>
      </w:pPr>
    </w:p>
    <w:p w14:paraId="2E56B353" w14:textId="77777777" w:rsidR="00B4457A" w:rsidRPr="00035572" w:rsidRDefault="00B4457A" w:rsidP="00B4457A">
      <w:pPr>
        <w:rPr>
          <w:sz w:val="22"/>
          <w:szCs w:val="22"/>
        </w:rPr>
      </w:pPr>
      <w:r w:rsidRPr="00035572">
        <w:rPr>
          <w:sz w:val="22"/>
          <w:szCs w:val="22"/>
        </w:rPr>
        <w:lastRenderedPageBreak/>
        <w:t>Key findings identified that:</w:t>
      </w:r>
    </w:p>
    <w:p w14:paraId="4F2A5231" w14:textId="77777777" w:rsidR="00B4457A" w:rsidRPr="00035572" w:rsidRDefault="00B4457A" w:rsidP="00B4457A">
      <w:pPr>
        <w:pStyle w:val="ListParagraph"/>
        <w:numPr>
          <w:ilvl w:val="0"/>
          <w:numId w:val="9"/>
        </w:numPr>
        <w:rPr>
          <w:sz w:val="22"/>
          <w:szCs w:val="22"/>
        </w:rPr>
      </w:pPr>
      <w:r w:rsidRPr="00035572">
        <w:rPr>
          <w:sz w:val="22"/>
          <w:szCs w:val="22"/>
        </w:rPr>
        <w:t>Rural depopulation is the most significant driver behind the closure and reconfiguration of schools.</w:t>
      </w:r>
    </w:p>
    <w:p w14:paraId="259FEFE1" w14:textId="77777777" w:rsidR="00B4457A" w:rsidRPr="00035572" w:rsidRDefault="00B4457A" w:rsidP="00B4457A">
      <w:pPr>
        <w:pStyle w:val="ListParagraph"/>
        <w:numPr>
          <w:ilvl w:val="0"/>
          <w:numId w:val="9"/>
        </w:numPr>
        <w:rPr>
          <w:sz w:val="22"/>
          <w:szCs w:val="22"/>
        </w:rPr>
      </w:pPr>
      <w:r w:rsidRPr="00035572">
        <w:rPr>
          <w:sz w:val="22"/>
          <w:szCs w:val="22"/>
        </w:rPr>
        <w:t xml:space="preserve">The sustainability of a school </w:t>
      </w:r>
      <w:proofErr w:type="gramStart"/>
      <w:r w:rsidRPr="00035572">
        <w:rPr>
          <w:sz w:val="22"/>
          <w:szCs w:val="22"/>
        </w:rPr>
        <w:t>is directly tied</w:t>
      </w:r>
      <w:proofErr w:type="gramEnd"/>
      <w:r w:rsidRPr="00035572">
        <w:rPr>
          <w:sz w:val="22"/>
          <w:szCs w:val="22"/>
        </w:rPr>
        <w:t xml:space="preserve"> to the vitality and sustainability of the rural community itself.</w:t>
      </w:r>
    </w:p>
    <w:p w14:paraId="03C2488F" w14:textId="77777777" w:rsidR="00B4457A" w:rsidRPr="00035572" w:rsidRDefault="00B4457A" w:rsidP="00B4457A">
      <w:pPr>
        <w:pStyle w:val="ListParagraph"/>
        <w:numPr>
          <w:ilvl w:val="0"/>
          <w:numId w:val="9"/>
        </w:numPr>
        <w:rPr>
          <w:sz w:val="22"/>
          <w:szCs w:val="22"/>
        </w:rPr>
      </w:pPr>
      <w:r w:rsidRPr="00035572">
        <w:rPr>
          <w:sz w:val="22"/>
          <w:szCs w:val="22"/>
        </w:rPr>
        <w:t>Stakeholders believe schools are one of the last pillars supporting rural life, and as such, deserve additional support in the form of further funding for programming, and transportation.</w:t>
      </w:r>
    </w:p>
    <w:p w14:paraId="4F6643CE" w14:textId="77777777" w:rsidR="00B4457A" w:rsidRPr="00035572" w:rsidRDefault="00B4457A" w:rsidP="00B4457A">
      <w:pPr>
        <w:pStyle w:val="ListParagraph"/>
        <w:numPr>
          <w:ilvl w:val="0"/>
          <w:numId w:val="9"/>
        </w:numPr>
        <w:rPr>
          <w:sz w:val="22"/>
          <w:szCs w:val="22"/>
        </w:rPr>
      </w:pPr>
      <w:r w:rsidRPr="00035572">
        <w:rPr>
          <w:sz w:val="22"/>
          <w:szCs w:val="22"/>
        </w:rPr>
        <w:t>Formal and informal partnerships are essential to the sustained well-being of schools.</w:t>
      </w:r>
    </w:p>
    <w:p w14:paraId="214415F9" w14:textId="77777777" w:rsidR="00B4457A" w:rsidRPr="00035572" w:rsidRDefault="00B4457A" w:rsidP="00B4457A">
      <w:pPr>
        <w:pStyle w:val="ListParagraph"/>
        <w:numPr>
          <w:ilvl w:val="0"/>
          <w:numId w:val="9"/>
        </w:numPr>
        <w:rPr>
          <w:sz w:val="22"/>
          <w:szCs w:val="22"/>
        </w:rPr>
      </w:pPr>
      <w:r w:rsidRPr="00035572">
        <w:rPr>
          <w:sz w:val="22"/>
          <w:szCs w:val="22"/>
        </w:rPr>
        <w:t xml:space="preserve">Strategies to boost and maintain enrolment are most effective when they are school-specific. </w:t>
      </w:r>
    </w:p>
    <w:p w14:paraId="4C0BA6A8" w14:textId="77777777" w:rsidR="00B4457A" w:rsidRPr="00035572" w:rsidRDefault="00B4457A" w:rsidP="00B4457A">
      <w:pPr>
        <w:pStyle w:val="ListParagraph"/>
        <w:numPr>
          <w:ilvl w:val="0"/>
          <w:numId w:val="9"/>
        </w:numPr>
        <w:rPr>
          <w:sz w:val="22"/>
          <w:szCs w:val="22"/>
        </w:rPr>
      </w:pPr>
      <w:r w:rsidRPr="00035572">
        <w:rPr>
          <w:sz w:val="22"/>
          <w:szCs w:val="22"/>
        </w:rPr>
        <w:t>The reconfiguration, consolidation, or closure of small schools to create larger regional schools tends to be positive for parents, students and staff. Students settle in quickly, and enjoy the wider course selection, bigger peer groups, and added extra-curricular activities, while teachers have better access to resources and fewer multi-grade classrooms.</w:t>
      </w:r>
    </w:p>
    <w:p w14:paraId="6B12AAC0" w14:textId="011A2BE5" w:rsidR="00E44A8D" w:rsidRPr="00035572" w:rsidRDefault="00E44A8D" w:rsidP="00E44A8D">
      <w:pPr>
        <w:rPr>
          <w:b/>
          <w:sz w:val="22"/>
          <w:szCs w:val="22"/>
        </w:rPr>
      </w:pPr>
      <w:r w:rsidRPr="00035572">
        <w:rPr>
          <w:b/>
          <w:sz w:val="22"/>
          <w:szCs w:val="22"/>
        </w:rPr>
        <w:t xml:space="preserve"> </w:t>
      </w:r>
    </w:p>
    <w:p w14:paraId="49CCEA58" w14:textId="228E4B03" w:rsidR="00E44A8D" w:rsidRPr="00035572" w:rsidRDefault="00E44A8D" w:rsidP="00E44A8D">
      <w:pPr>
        <w:rPr>
          <w:b/>
          <w:color w:val="5B9BD5" w:themeColor="accent1"/>
        </w:rPr>
      </w:pPr>
      <w:r w:rsidRPr="00035572">
        <w:rPr>
          <w:b/>
          <w:color w:val="5B9BD5" w:themeColor="accent1"/>
        </w:rPr>
        <w:t>Funding for Rural Schools</w:t>
      </w:r>
    </w:p>
    <w:p w14:paraId="42152D08" w14:textId="57B28694" w:rsidR="00A872EF" w:rsidRPr="00427196" w:rsidRDefault="00427196" w:rsidP="00E44A8D">
      <w:pPr>
        <w:rPr>
          <w:sz w:val="22"/>
          <w:szCs w:val="22"/>
        </w:rPr>
      </w:pPr>
      <w:r w:rsidRPr="00035572">
        <w:rPr>
          <w:rFonts w:ascii="Calibri" w:eastAsia="Times New Roman" w:hAnsi="Calibri" w:cs="Times New Roman"/>
          <w:color w:val="222222"/>
          <w:sz w:val="22"/>
          <w:szCs w:val="22"/>
          <w:shd w:val="clear" w:color="auto" w:fill="FFFFFF"/>
          <w:lang w:val="en-US"/>
        </w:rPr>
        <w:t xml:space="preserve">The division receives a variety of grants from Alberta Education to support education programs in the division. The grants include Base Instruction, Transportation, </w:t>
      </w:r>
      <w:r w:rsidR="00956F29" w:rsidRPr="00035572">
        <w:rPr>
          <w:rFonts w:ascii="Calibri" w:eastAsia="Times New Roman" w:hAnsi="Calibri" w:cs="Times New Roman"/>
          <w:color w:val="222222"/>
          <w:sz w:val="22"/>
          <w:szCs w:val="22"/>
          <w:shd w:val="clear" w:color="auto" w:fill="FFFFFF"/>
          <w:lang w:val="en-US"/>
        </w:rPr>
        <w:t xml:space="preserve">and </w:t>
      </w:r>
      <w:r w:rsidRPr="00035572">
        <w:rPr>
          <w:rFonts w:ascii="Calibri" w:eastAsia="Times New Roman" w:hAnsi="Calibri" w:cs="Times New Roman"/>
          <w:color w:val="222222"/>
          <w:sz w:val="22"/>
          <w:szCs w:val="22"/>
          <w:shd w:val="clear" w:color="auto" w:fill="FFFFFF"/>
          <w:lang w:val="en-US"/>
        </w:rPr>
        <w:t xml:space="preserve">Facility Operations and Maintenance. </w:t>
      </w:r>
      <w:r w:rsidR="00956F29" w:rsidRPr="00035572">
        <w:rPr>
          <w:rFonts w:ascii="Calibri" w:eastAsia="Times New Roman" w:hAnsi="Calibri" w:cs="Times New Roman"/>
          <w:color w:val="222222"/>
          <w:sz w:val="22"/>
          <w:szCs w:val="22"/>
          <w:shd w:val="clear" w:color="auto" w:fill="FFFFFF"/>
          <w:lang w:val="en-US"/>
        </w:rPr>
        <w:t xml:space="preserve">The </w:t>
      </w:r>
      <w:r w:rsidRPr="00035572">
        <w:rPr>
          <w:rFonts w:ascii="Calibri" w:eastAsia="Times New Roman" w:hAnsi="Calibri" w:cs="Times New Roman"/>
          <w:i/>
          <w:color w:val="222222"/>
          <w:sz w:val="22"/>
          <w:szCs w:val="22"/>
          <w:shd w:val="clear" w:color="auto" w:fill="FFFFFF"/>
          <w:lang w:val="en-US"/>
        </w:rPr>
        <w:t>Small Schools by Necessity Grant</w:t>
      </w:r>
      <w:r w:rsidRPr="00035572">
        <w:rPr>
          <w:rFonts w:ascii="Calibri" w:eastAsia="Times New Roman" w:hAnsi="Calibri" w:cs="Times New Roman"/>
          <w:color w:val="222222"/>
          <w:sz w:val="22"/>
          <w:szCs w:val="22"/>
          <w:shd w:val="clear" w:color="auto" w:fill="FFFFFF"/>
          <w:lang w:val="en-US"/>
        </w:rPr>
        <w:t xml:space="preserve"> and </w:t>
      </w:r>
      <w:r w:rsidR="00956F29" w:rsidRPr="00035572">
        <w:rPr>
          <w:rFonts w:ascii="Calibri" w:eastAsia="Times New Roman" w:hAnsi="Calibri" w:cs="Times New Roman"/>
          <w:color w:val="222222"/>
          <w:sz w:val="22"/>
          <w:szCs w:val="22"/>
          <w:shd w:val="clear" w:color="auto" w:fill="FFFFFF"/>
          <w:lang w:val="en-US"/>
        </w:rPr>
        <w:t xml:space="preserve">the </w:t>
      </w:r>
      <w:r w:rsidRPr="00035572">
        <w:rPr>
          <w:rFonts w:ascii="Calibri" w:eastAsia="Times New Roman" w:hAnsi="Calibri" w:cs="Times New Roman"/>
          <w:i/>
          <w:color w:val="222222"/>
          <w:sz w:val="22"/>
          <w:szCs w:val="22"/>
          <w:shd w:val="clear" w:color="auto" w:fill="FFFFFF"/>
          <w:lang w:val="en-US"/>
        </w:rPr>
        <w:t>Equity of Opportunity Grant</w:t>
      </w:r>
      <w:r w:rsidRPr="00035572">
        <w:rPr>
          <w:rFonts w:ascii="Calibri" w:eastAsia="Times New Roman" w:hAnsi="Calibri" w:cs="Times New Roman"/>
          <w:color w:val="222222"/>
          <w:sz w:val="22"/>
          <w:szCs w:val="22"/>
          <w:shd w:val="clear" w:color="auto" w:fill="FFFFFF"/>
          <w:lang w:val="en-US"/>
        </w:rPr>
        <w:t xml:space="preserve"> are part of the regular government funding to support small schools in rural and remote communities.</w:t>
      </w:r>
      <w:bookmarkStart w:id="0" w:name="_GoBack"/>
      <w:bookmarkEnd w:id="0"/>
    </w:p>
    <w:p w14:paraId="35F55770" w14:textId="77777777" w:rsidR="00A872EF" w:rsidRPr="00427196" w:rsidRDefault="00A872EF" w:rsidP="00E44A8D">
      <w:pPr>
        <w:rPr>
          <w:sz w:val="22"/>
          <w:szCs w:val="22"/>
        </w:rPr>
      </w:pPr>
    </w:p>
    <w:p w14:paraId="3EF901D1" w14:textId="77777777" w:rsidR="00A872EF" w:rsidRPr="00427196" w:rsidRDefault="00A872EF" w:rsidP="00E44A8D">
      <w:pPr>
        <w:rPr>
          <w:sz w:val="22"/>
          <w:szCs w:val="22"/>
        </w:rPr>
      </w:pPr>
    </w:p>
    <w:sectPr w:rsidR="00A872EF" w:rsidRPr="00427196" w:rsidSect="00956F29">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2887" w14:textId="77777777" w:rsidR="0036491F" w:rsidRDefault="0036491F" w:rsidP="007628FB">
      <w:r>
        <w:separator/>
      </w:r>
    </w:p>
  </w:endnote>
  <w:endnote w:type="continuationSeparator" w:id="0">
    <w:p w14:paraId="6F24B9FA" w14:textId="77777777" w:rsidR="0036491F" w:rsidRDefault="0036491F" w:rsidP="0076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7DAA3" w14:textId="77777777" w:rsidR="0036491F" w:rsidRDefault="0036491F" w:rsidP="007628FB">
      <w:r>
        <w:separator/>
      </w:r>
    </w:p>
  </w:footnote>
  <w:footnote w:type="continuationSeparator" w:id="0">
    <w:p w14:paraId="4EB3615E" w14:textId="77777777" w:rsidR="0036491F" w:rsidRDefault="0036491F" w:rsidP="0076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8061" w14:textId="769A0E1A" w:rsidR="00956F29" w:rsidRDefault="00956F29" w:rsidP="00956F29">
    <w:pPr>
      <w:pStyle w:val="Header"/>
      <w:jc w:val="center"/>
    </w:pPr>
    <w:r>
      <w:rPr>
        <w:noProof/>
        <w:lang w:val="en-US"/>
      </w:rPr>
      <w:drawing>
        <wp:inline distT="0" distB="0" distL="0" distR="0" wp14:anchorId="4EA49584" wp14:editId="609AEB47">
          <wp:extent cx="1438656"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PSD_RGB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6" cy="457200"/>
                  </a:xfrm>
                  <a:prstGeom prst="rect">
                    <a:avLst/>
                  </a:prstGeom>
                </pic:spPr>
              </pic:pic>
            </a:graphicData>
          </a:graphic>
        </wp:inline>
      </w:drawing>
    </w:r>
  </w:p>
  <w:p w14:paraId="11B5F229" w14:textId="77777777" w:rsidR="00956F29" w:rsidRDefault="0095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31272857"/>
      </v:shape>
    </w:pict>
  </w:numPicBullet>
  <w:abstractNum w:abstractNumId="0" w15:restartNumberingAfterBreak="0">
    <w:nsid w:val="0EED4A1D"/>
    <w:multiLevelType w:val="hybridMultilevel"/>
    <w:tmpl w:val="F7D2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63C8"/>
    <w:multiLevelType w:val="hybridMultilevel"/>
    <w:tmpl w:val="948077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7699E"/>
    <w:multiLevelType w:val="hybridMultilevel"/>
    <w:tmpl w:val="5900E002"/>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06BE1"/>
    <w:multiLevelType w:val="hybridMultilevel"/>
    <w:tmpl w:val="803C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36803"/>
    <w:multiLevelType w:val="hybridMultilevel"/>
    <w:tmpl w:val="F90873C4"/>
    <w:lvl w:ilvl="0" w:tplc="04090003">
      <w:start w:val="1"/>
      <w:numFmt w:val="bullet"/>
      <w:lvlText w:val="o"/>
      <w:lvlJc w:val="left"/>
      <w:pPr>
        <w:ind w:left="720" w:hanging="360"/>
      </w:pPr>
      <w:rPr>
        <w:rFonts w:ascii="Courier New" w:hAnsi="Courier New" w:cs="Courier New"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F31B7"/>
    <w:multiLevelType w:val="hybridMultilevel"/>
    <w:tmpl w:val="11E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403FC"/>
    <w:multiLevelType w:val="hybridMultilevel"/>
    <w:tmpl w:val="171A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D72CF"/>
    <w:multiLevelType w:val="hybridMultilevel"/>
    <w:tmpl w:val="5BAC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77327"/>
    <w:multiLevelType w:val="hybridMultilevel"/>
    <w:tmpl w:val="6DB056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C1660"/>
    <w:multiLevelType w:val="hybridMultilevel"/>
    <w:tmpl w:val="0BBC80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B6A99"/>
    <w:multiLevelType w:val="hybridMultilevel"/>
    <w:tmpl w:val="9612D16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B0AB7"/>
    <w:multiLevelType w:val="hybridMultilevel"/>
    <w:tmpl w:val="9BEC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36C78"/>
    <w:multiLevelType w:val="hybridMultilevel"/>
    <w:tmpl w:val="2E80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0"/>
  </w:num>
  <w:num w:numId="5">
    <w:abstractNumId w:val="6"/>
  </w:num>
  <w:num w:numId="6">
    <w:abstractNumId w:val="3"/>
  </w:num>
  <w:num w:numId="7">
    <w:abstractNumId w:val="11"/>
  </w:num>
  <w:num w:numId="8">
    <w:abstractNumId w:val="8"/>
  </w:num>
  <w:num w:numId="9">
    <w:abstractNumId w:val="1"/>
  </w:num>
  <w:num w:numId="10">
    <w:abstractNumId w:val="2"/>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55"/>
    <w:rsid w:val="00031F4B"/>
    <w:rsid w:val="00035572"/>
    <w:rsid w:val="00044BCF"/>
    <w:rsid w:val="00096962"/>
    <w:rsid w:val="00146546"/>
    <w:rsid w:val="00146E85"/>
    <w:rsid w:val="00154CBC"/>
    <w:rsid w:val="001F0B6E"/>
    <w:rsid w:val="00210714"/>
    <w:rsid w:val="002A1F03"/>
    <w:rsid w:val="002A3E85"/>
    <w:rsid w:val="002B7CDC"/>
    <w:rsid w:val="002D0975"/>
    <w:rsid w:val="00312437"/>
    <w:rsid w:val="0036491F"/>
    <w:rsid w:val="00384DA9"/>
    <w:rsid w:val="003C7672"/>
    <w:rsid w:val="00427196"/>
    <w:rsid w:val="0047188B"/>
    <w:rsid w:val="00475087"/>
    <w:rsid w:val="004C69D3"/>
    <w:rsid w:val="004D07D1"/>
    <w:rsid w:val="004F3695"/>
    <w:rsid w:val="005704A5"/>
    <w:rsid w:val="00580D0E"/>
    <w:rsid w:val="005F680D"/>
    <w:rsid w:val="00671F37"/>
    <w:rsid w:val="00684578"/>
    <w:rsid w:val="00727E2D"/>
    <w:rsid w:val="007628FB"/>
    <w:rsid w:val="007A3468"/>
    <w:rsid w:val="008253D8"/>
    <w:rsid w:val="00870FCD"/>
    <w:rsid w:val="008C77A5"/>
    <w:rsid w:val="008D5C29"/>
    <w:rsid w:val="008F41BC"/>
    <w:rsid w:val="00943BB5"/>
    <w:rsid w:val="0095169D"/>
    <w:rsid w:val="00951CAA"/>
    <w:rsid w:val="00951DD3"/>
    <w:rsid w:val="00956F29"/>
    <w:rsid w:val="00991EFA"/>
    <w:rsid w:val="00A45407"/>
    <w:rsid w:val="00A872EF"/>
    <w:rsid w:val="00AD356E"/>
    <w:rsid w:val="00B442E5"/>
    <w:rsid w:val="00B4457A"/>
    <w:rsid w:val="00C11F55"/>
    <w:rsid w:val="00C205EF"/>
    <w:rsid w:val="00C42C2F"/>
    <w:rsid w:val="00C731D7"/>
    <w:rsid w:val="00CE4C2C"/>
    <w:rsid w:val="00CF78D9"/>
    <w:rsid w:val="00D10336"/>
    <w:rsid w:val="00D9564D"/>
    <w:rsid w:val="00DB0FD9"/>
    <w:rsid w:val="00E44A8D"/>
    <w:rsid w:val="00E94F39"/>
    <w:rsid w:val="00ED34DA"/>
    <w:rsid w:val="00EF1F47"/>
    <w:rsid w:val="00F0227A"/>
    <w:rsid w:val="00F20281"/>
    <w:rsid w:val="00F761C9"/>
    <w:rsid w:val="00FF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F6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55"/>
    <w:pPr>
      <w:ind w:left="720"/>
      <w:contextualSpacing/>
    </w:pPr>
  </w:style>
  <w:style w:type="paragraph" w:styleId="Header">
    <w:name w:val="header"/>
    <w:basedOn w:val="Normal"/>
    <w:link w:val="HeaderChar"/>
    <w:uiPriority w:val="99"/>
    <w:unhideWhenUsed/>
    <w:rsid w:val="007628FB"/>
    <w:pPr>
      <w:tabs>
        <w:tab w:val="center" w:pos="4680"/>
        <w:tab w:val="right" w:pos="9360"/>
      </w:tabs>
    </w:pPr>
  </w:style>
  <w:style w:type="character" w:customStyle="1" w:styleId="HeaderChar">
    <w:name w:val="Header Char"/>
    <w:basedOn w:val="DefaultParagraphFont"/>
    <w:link w:val="Header"/>
    <w:uiPriority w:val="99"/>
    <w:rsid w:val="007628FB"/>
    <w:rPr>
      <w:lang w:val="en-CA"/>
    </w:rPr>
  </w:style>
  <w:style w:type="paragraph" w:styleId="Footer">
    <w:name w:val="footer"/>
    <w:basedOn w:val="Normal"/>
    <w:link w:val="FooterChar"/>
    <w:uiPriority w:val="99"/>
    <w:unhideWhenUsed/>
    <w:rsid w:val="007628FB"/>
    <w:pPr>
      <w:tabs>
        <w:tab w:val="center" w:pos="4680"/>
        <w:tab w:val="right" w:pos="9360"/>
      </w:tabs>
    </w:pPr>
  </w:style>
  <w:style w:type="character" w:customStyle="1" w:styleId="FooterChar">
    <w:name w:val="Footer Char"/>
    <w:basedOn w:val="DefaultParagraphFont"/>
    <w:link w:val="Footer"/>
    <w:uiPriority w:val="99"/>
    <w:rsid w:val="007628FB"/>
    <w:rPr>
      <w:lang w:val="en-CA"/>
    </w:rPr>
  </w:style>
  <w:style w:type="table" w:styleId="TableGrid">
    <w:name w:val="Table Grid"/>
    <w:basedOn w:val="TableNormal"/>
    <w:uiPriority w:val="39"/>
    <w:rsid w:val="001F0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6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29"/>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276">
      <w:bodyDiv w:val="1"/>
      <w:marLeft w:val="0"/>
      <w:marRight w:val="0"/>
      <w:marTop w:val="0"/>
      <w:marBottom w:val="0"/>
      <w:divBdr>
        <w:top w:val="none" w:sz="0" w:space="0" w:color="auto"/>
        <w:left w:val="none" w:sz="0" w:space="0" w:color="auto"/>
        <w:bottom w:val="none" w:sz="0" w:space="0" w:color="auto"/>
        <w:right w:val="none" w:sz="0" w:space="0" w:color="auto"/>
      </w:divBdr>
    </w:div>
    <w:div w:id="138806150">
      <w:bodyDiv w:val="1"/>
      <w:marLeft w:val="0"/>
      <w:marRight w:val="0"/>
      <w:marTop w:val="0"/>
      <w:marBottom w:val="0"/>
      <w:divBdr>
        <w:top w:val="none" w:sz="0" w:space="0" w:color="auto"/>
        <w:left w:val="none" w:sz="0" w:space="0" w:color="auto"/>
        <w:bottom w:val="none" w:sz="0" w:space="0" w:color="auto"/>
        <w:right w:val="none" w:sz="0" w:space="0" w:color="auto"/>
      </w:divBdr>
    </w:div>
    <w:div w:id="142016791">
      <w:bodyDiv w:val="1"/>
      <w:marLeft w:val="0"/>
      <w:marRight w:val="0"/>
      <w:marTop w:val="0"/>
      <w:marBottom w:val="0"/>
      <w:divBdr>
        <w:top w:val="none" w:sz="0" w:space="0" w:color="auto"/>
        <w:left w:val="none" w:sz="0" w:space="0" w:color="auto"/>
        <w:bottom w:val="none" w:sz="0" w:space="0" w:color="auto"/>
        <w:right w:val="none" w:sz="0" w:space="0" w:color="auto"/>
      </w:divBdr>
    </w:div>
    <w:div w:id="282349336">
      <w:bodyDiv w:val="1"/>
      <w:marLeft w:val="0"/>
      <w:marRight w:val="0"/>
      <w:marTop w:val="0"/>
      <w:marBottom w:val="0"/>
      <w:divBdr>
        <w:top w:val="none" w:sz="0" w:space="0" w:color="auto"/>
        <w:left w:val="none" w:sz="0" w:space="0" w:color="auto"/>
        <w:bottom w:val="none" w:sz="0" w:space="0" w:color="auto"/>
        <w:right w:val="none" w:sz="0" w:space="0" w:color="auto"/>
      </w:divBdr>
      <w:divsChild>
        <w:div w:id="1873415531">
          <w:marLeft w:val="0"/>
          <w:marRight w:val="0"/>
          <w:marTop w:val="0"/>
          <w:marBottom w:val="0"/>
          <w:divBdr>
            <w:top w:val="none" w:sz="0" w:space="0" w:color="auto"/>
            <w:left w:val="none" w:sz="0" w:space="0" w:color="auto"/>
            <w:bottom w:val="none" w:sz="0" w:space="0" w:color="auto"/>
            <w:right w:val="none" w:sz="0" w:space="0" w:color="auto"/>
          </w:divBdr>
        </w:div>
        <w:div w:id="1319382962">
          <w:marLeft w:val="0"/>
          <w:marRight w:val="0"/>
          <w:marTop w:val="0"/>
          <w:marBottom w:val="0"/>
          <w:divBdr>
            <w:top w:val="none" w:sz="0" w:space="0" w:color="auto"/>
            <w:left w:val="none" w:sz="0" w:space="0" w:color="auto"/>
            <w:bottom w:val="none" w:sz="0" w:space="0" w:color="auto"/>
            <w:right w:val="none" w:sz="0" w:space="0" w:color="auto"/>
          </w:divBdr>
        </w:div>
        <w:div w:id="1627541303">
          <w:marLeft w:val="0"/>
          <w:marRight w:val="0"/>
          <w:marTop w:val="0"/>
          <w:marBottom w:val="0"/>
          <w:divBdr>
            <w:top w:val="none" w:sz="0" w:space="0" w:color="auto"/>
            <w:left w:val="none" w:sz="0" w:space="0" w:color="auto"/>
            <w:bottom w:val="none" w:sz="0" w:space="0" w:color="auto"/>
            <w:right w:val="none" w:sz="0" w:space="0" w:color="auto"/>
          </w:divBdr>
        </w:div>
      </w:divsChild>
    </w:div>
    <w:div w:id="488863917">
      <w:bodyDiv w:val="1"/>
      <w:marLeft w:val="0"/>
      <w:marRight w:val="0"/>
      <w:marTop w:val="0"/>
      <w:marBottom w:val="0"/>
      <w:divBdr>
        <w:top w:val="none" w:sz="0" w:space="0" w:color="auto"/>
        <w:left w:val="none" w:sz="0" w:space="0" w:color="auto"/>
        <w:bottom w:val="none" w:sz="0" w:space="0" w:color="auto"/>
        <w:right w:val="none" w:sz="0" w:space="0" w:color="auto"/>
      </w:divBdr>
    </w:div>
    <w:div w:id="511603681">
      <w:bodyDiv w:val="1"/>
      <w:marLeft w:val="0"/>
      <w:marRight w:val="0"/>
      <w:marTop w:val="0"/>
      <w:marBottom w:val="0"/>
      <w:divBdr>
        <w:top w:val="none" w:sz="0" w:space="0" w:color="auto"/>
        <w:left w:val="none" w:sz="0" w:space="0" w:color="auto"/>
        <w:bottom w:val="none" w:sz="0" w:space="0" w:color="auto"/>
        <w:right w:val="none" w:sz="0" w:space="0" w:color="auto"/>
      </w:divBdr>
    </w:div>
    <w:div w:id="1184318129">
      <w:bodyDiv w:val="1"/>
      <w:marLeft w:val="0"/>
      <w:marRight w:val="0"/>
      <w:marTop w:val="0"/>
      <w:marBottom w:val="0"/>
      <w:divBdr>
        <w:top w:val="none" w:sz="0" w:space="0" w:color="auto"/>
        <w:left w:val="none" w:sz="0" w:space="0" w:color="auto"/>
        <w:bottom w:val="none" w:sz="0" w:space="0" w:color="auto"/>
        <w:right w:val="none" w:sz="0" w:space="0" w:color="auto"/>
      </w:divBdr>
    </w:div>
    <w:div w:id="1265530510">
      <w:bodyDiv w:val="1"/>
      <w:marLeft w:val="0"/>
      <w:marRight w:val="0"/>
      <w:marTop w:val="0"/>
      <w:marBottom w:val="0"/>
      <w:divBdr>
        <w:top w:val="none" w:sz="0" w:space="0" w:color="auto"/>
        <w:left w:val="none" w:sz="0" w:space="0" w:color="auto"/>
        <w:bottom w:val="none" w:sz="0" w:space="0" w:color="auto"/>
        <w:right w:val="none" w:sz="0" w:space="0" w:color="auto"/>
      </w:divBdr>
    </w:div>
    <w:div w:id="1351222411">
      <w:bodyDiv w:val="1"/>
      <w:marLeft w:val="0"/>
      <w:marRight w:val="0"/>
      <w:marTop w:val="0"/>
      <w:marBottom w:val="0"/>
      <w:divBdr>
        <w:top w:val="none" w:sz="0" w:space="0" w:color="auto"/>
        <w:left w:val="none" w:sz="0" w:space="0" w:color="auto"/>
        <w:bottom w:val="none" w:sz="0" w:space="0" w:color="auto"/>
        <w:right w:val="none" w:sz="0" w:space="0" w:color="auto"/>
      </w:divBdr>
    </w:div>
    <w:div w:id="1375083959">
      <w:bodyDiv w:val="1"/>
      <w:marLeft w:val="0"/>
      <w:marRight w:val="0"/>
      <w:marTop w:val="0"/>
      <w:marBottom w:val="0"/>
      <w:divBdr>
        <w:top w:val="none" w:sz="0" w:space="0" w:color="auto"/>
        <w:left w:val="none" w:sz="0" w:space="0" w:color="auto"/>
        <w:bottom w:val="none" w:sz="0" w:space="0" w:color="auto"/>
        <w:right w:val="none" w:sz="0" w:space="0" w:color="auto"/>
      </w:divBdr>
    </w:div>
    <w:div w:id="1533420380">
      <w:bodyDiv w:val="1"/>
      <w:marLeft w:val="0"/>
      <w:marRight w:val="0"/>
      <w:marTop w:val="0"/>
      <w:marBottom w:val="0"/>
      <w:divBdr>
        <w:top w:val="none" w:sz="0" w:space="0" w:color="auto"/>
        <w:left w:val="none" w:sz="0" w:space="0" w:color="auto"/>
        <w:bottom w:val="none" w:sz="0" w:space="0" w:color="auto"/>
        <w:right w:val="none" w:sz="0" w:space="0" w:color="auto"/>
      </w:divBdr>
    </w:div>
    <w:div w:id="1950813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Office%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Historical &amp; projected* Enrolment</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'[Chart in Microsoft Office Word]Sheet1'!$B$1</c:f>
              <c:strCache>
                <c:ptCount val="1"/>
                <c:pt idx="0">
                  <c:v>Evansview </c:v>
                </c:pt>
              </c:strCache>
            </c:strRef>
          </c:tx>
          <c:spPr>
            <a:ln w="38100" cap="flat" cmpd="dbl" algn="ctr">
              <a:solidFill>
                <a:schemeClr val="accent6"/>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in Microsoft Office Word]Sheet1'!$A$2:$A$16</c:f>
              <c:strCache>
                <c:ptCount val="15"/>
                <c:pt idx="0">
                  <c:v>2023/2024</c:v>
                </c:pt>
                <c:pt idx="1">
                  <c:v>2022/2023</c:v>
                </c:pt>
                <c:pt idx="2">
                  <c:v>2021/2022</c:v>
                </c:pt>
                <c:pt idx="3">
                  <c:v>2020/2021</c:v>
                </c:pt>
                <c:pt idx="4">
                  <c:v>2019/2020</c:v>
                </c:pt>
                <c:pt idx="5">
                  <c:v>2018/2019</c:v>
                </c:pt>
                <c:pt idx="6">
                  <c:v>2017/2018</c:v>
                </c:pt>
                <c:pt idx="7">
                  <c:v>2016/2017</c:v>
                </c:pt>
                <c:pt idx="8">
                  <c:v>2015/2016</c:v>
                </c:pt>
                <c:pt idx="9">
                  <c:v>2014/2015</c:v>
                </c:pt>
                <c:pt idx="10">
                  <c:v>2013/2014</c:v>
                </c:pt>
                <c:pt idx="11">
                  <c:v>2012/2013</c:v>
                </c:pt>
                <c:pt idx="12">
                  <c:v>2011/2012</c:v>
                </c:pt>
                <c:pt idx="13">
                  <c:v>2010/2011</c:v>
                </c:pt>
                <c:pt idx="14">
                  <c:v>2009/2010</c:v>
                </c:pt>
              </c:strCache>
            </c:strRef>
          </c:cat>
          <c:val>
            <c:numRef>
              <c:f>'[Chart in Microsoft Office Word]Sheet1'!$B$2:$B$16</c:f>
              <c:numCache>
                <c:formatCode>General</c:formatCode>
                <c:ptCount val="15"/>
                <c:pt idx="0">
                  <c:v>122</c:v>
                </c:pt>
                <c:pt idx="1">
                  <c:v>122</c:v>
                </c:pt>
                <c:pt idx="2">
                  <c:v>122</c:v>
                </c:pt>
                <c:pt idx="3">
                  <c:v>122</c:v>
                </c:pt>
                <c:pt idx="4">
                  <c:v>122</c:v>
                </c:pt>
                <c:pt idx="5">
                  <c:v>122</c:v>
                </c:pt>
                <c:pt idx="6">
                  <c:v>118</c:v>
                </c:pt>
                <c:pt idx="7">
                  <c:v>125</c:v>
                </c:pt>
                <c:pt idx="8">
                  <c:v>131</c:v>
                </c:pt>
                <c:pt idx="9">
                  <c:v>126</c:v>
                </c:pt>
                <c:pt idx="10">
                  <c:v>120</c:v>
                </c:pt>
                <c:pt idx="11">
                  <c:v>107</c:v>
                </c:pt>
                <c:pt idx="12">
                  <c:v>109</c:v>
                </c:pt>
                <c:pt idx="13">
                  <c:v>91</c:v>
                </c:pt>
                <c:pt idx="14">
                  <c:v>80</c:v>
                </c:pt>
              </c:numCache>
            </c:numRef>
          </c:val>
          <c:smooth val="0"/>
          <c:extLst>
            <c:ext xmlns:c16="http://schemas.microsoft.com/office/drawing/2014/chart" uri="{C3380CC4-5D6E-409C-BE32-E72D297353CC}">
              <c16:uniqueId val="{00000000-EA1B-4096-AE09-FB393CAAD2AC}"/>
            </c:ext>
          </c:extLst>
        </c:ser>
        <c:ser>
          <c:idx val="1"/>
          <c:order val="1"/>
          <c:tx>
            <c:strRef>
              <c:f>'[Chart in Microsoft Office Word]Sheet1'!$C$1</c:f>
              <c:strCache>
                <c:ptCount val="1"/>
                <c:pt idx="0">
                  <c:v>Grand Trunk High School </c:v>
                </c:pt>
              </c:strCache>
            </c:strRef>
          </c:tx>
          <c:spPr>
            <a:ln w="38100" cap="flat" cmpd="dbl" algn="ctr">
              <a:solidFill>
                <a:schemeClr val="accent5"/>
              </a:solidFill>
              <a:miter lim="800000"/>
            </a:ln>
            <a:effectLst/>
          </c:spPr>
          <c:marker>
            <c:symbol val="none"/>
          </c:marker>
          <c:dLbls>
            <c:dLbl>
              <c:idx val="4"/>
              <c:spPr>
                <a:noFill/>
                <a:ln>
                  <a:noFill/>
                  <a:prstDash val="dash"/>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EA1B-4096-AE09-FB393CAAD2AC}"/>
                </c:ext>
              </c:extLst>
            </c:dLbl>
            <c:dLbl>
              <c:idx val="5"/>
              <c:layout>
                <c:manualLayout>
                  <c:x val="-3.491452991453E-2"/>
                  <c:y val="1.11591574836099E-2"/>
                </c:manualLayout>
              </c:layout>
              <c:tx>
                <c:rich>
                  <a:bodyPr/>
                  <a:lstStyle/>
                  <a:p>
                    <a:r>
                      <a:rPr lang="en-US"/>
                      <a:t>157</a:t>
                    </a:r>
                  </a:p>
                  <a:p>
                    <a:endParaRPr lang="en-US"/>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A1B-4096-AE09-FB393CAAD2AC}"/>
                </c:ext>
              </c:extLst>
            </c:dLbl>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in Microsoft Office Word]Sheet1'!$A$2:$A$16</c:f>
              <c:strCache>
                <c:ptCount val="15"/>
                <c:pt idx="0">
                  <c:v>2023/2024</c:v>
                </c:pt>
                <c:pt idx="1">
                  <c:v>2022/2023</c:v>
                </c:pt>
                <c:pt idx="2">
                  <c:v>2021/2022</c:v>
                </c:pt>
                <c:pt idx="3">
                  <c:v>2020/2021</c:v>
                </c:pt>
                <c:pt idx="4">
                  <c:v>2019/2020</c:v>
                </c:pt>
                <c:pt idx="5">
                  <c:v>2018/2019</c:v>
                </c:pt>
                <c:pt idx="6">
                  <c:v>2017/2018</c:v>
                </c:pt>
                <c:pt idx="7">
                  <c:v>2016/2017</c:v>
                </c:pt>
                <c:pt idx="8">
                  <c:v>2015/2016</c:v>
                </c:pt>
                <c:pt idx="9">
                  <c:v>2014/2015</c:v>
                </c:pt>
                <c:pt idx="10">
                  <c:v>2013/2014</c:v>
                </c:pt>
                <c:pt idx="11">
                  <c:v>2012/2013</c:v>
                </c:pt>
                <c:pt idx="12">
                  <c:v>2011/2012</c:v>
                </c:pt>
                <c:pt idx="13">
                  <c:v>2010/2011</c:v>
                </c:pt>
                <c:pt idx="14">
                  <c:v>2009/2010</c:v>
                </c:pt>
              </c:strCache>
            </c:strRef>
          </c:cat>
          <c:val>
            <c:numRef>
              <c:f>'[Chart in Microsoft Office Word]Sheet1'!$C$2:$C$16</c:f>
              <c:numCache>
                <c:formatCode>General</c:formatCode>
                <c:ptCount val="15"/>
                <c:pt idx="0">
                  <c:v>156</c:v>
                </c:pt>
                <c:pt idx="1">
                  <c:v>156</c:v>
                </c:pt>
                <c:pt idx="2">
                  <c:v>156</c:v>
                </c:pt>
                <c:pt idx="3">
                  <c:v>155</c:v>
                </c:pt>
                <c:pt idx="4">
                  <c:v>155</c:v>
                </c:pt>
                <c:pt idx="5">
                  <c:v>155</c:v>
                </c:pt>
                <c:pt idx="6">
                  <c:v>153</c:v>
                </c:pt>
                <c:pt idx="7">
                  <c:v>135</c:v>
                </c:pt>
                <c:pt idx="8">
                  <c:v>148</c:v>
                </c:pt>
                <c:pt idx="9">
                  <c:v>165</c:v>
                </c:pt>
                <c:pt idx="10">
                  <c:v>150</c:v>
                </c:pt>
                <c:pt idx="11">
                  <c:v>144</c:v>
                </c:pt>
                <c:pt idx="12">
                  <c:v>152</c:v>
                </c:pt>
                <c:pt idx="13">
                  <c:v>168</c:v>
                </c:pt>
                <c:pt idx="14">
                  <c:v>189</c:v>
                </c:pt>
              </c:numCache>
            </c:numRef>
          </c:val>
          <c:smooth val="0"/>
          <c:extLst>
            <c:ext xmlns:c16="http://schemas.microsoft.com/office/drawing/2014/chart" uri="{C3380CC4-5D6E-409C-BE32-E72D297353CC}">
              <c16:uniqueId val="{00000003-EA1B-4096-AE09-FB393CAAD2AC}"/>
            </c:ext>
          </c:extLst>
        </c:ser>
        <c:ser>
          <c:idx val="2"/>
          <c:order val="2"/>
          <c:tx>
            <c:strRef>
              <c:f>'[Chart in Microsoft Office Word]Sheet1'!$D$1</c:f>
              <c:strCache>
                <c:ptCount val="1"/>
                <c:pt idx="0">
                  <c:v>Wildwood School</c:v>
                </c:pt>
              </c:strCache>
            </c:strRef>
          </c:tx>
          <c:spPr>
            <a:ln w="38100" cap="flat" cmpd="dbl" algn="ctr">
              <a:solidFill>
                <a:schemeClr val="accent4"/>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in Microsoft Office Word]Sheet1'!$A$2:$A$16</c:f>
              <c:strCache>
                <c:ptCount val="15"/>
                <c:pt idx="0">
                  <c:v>2023/2024</c:v>
                </c:pt>
                <c:pt idx="1">
                  <c:v>2022/2023</c:v>
                </c:pt>
                <c:pt idx="2">
                  <c:v>2021/2022</c:v>
                </c:pt>
                <c:pt idx="3">
                  <c:v>2020/2021</c:v>
                </c:pt>
                <c:pt idx="4">
                  <c:v>2019/2020</c:v>
                </c:pt>
                <c:pt idx="5">
                  <c:v>2018/2019</c:v>
                </c:pt>
                <c:pt idx="6">
                  <c:v>2017/2018</c:v>
                </c:pt>
                <c:pt idx="7">
                  <c:v>2016/2017</c:v>
                </c:pt>
                <c:pt idx="8">
                  <c:v>2015/2016</c:v>
                </c:pt>
                <c:pt idx="9">
                  <c:v>2014/2015</c:v>
                </c:pt>
                <c:pt idx="10">
                  <c:v>2013/2014</c:v>
                </c:pt>
                <c:pt idx="11">
                  <c:v>2012/2013</c:v>
                </c:pt>
                <c:pt idx="12">
                  <c:v>2011/2012</c:v>
                </c:pt>
                <c:pt idx="13">
                  <c:v>2010/2011</c:v>
                </c:pt>
                <c:pt idx="14">
                  <c:v>2009/2010</c:v>
                </c:pt>
              </c:strCache>
            </c:strRef>
          </c:cat>
          <c:val>
            <c:numRef>
              <c:f>'[Chart in Microsoft Office Word]Sheet1'!$D$2:$D$16</c:f>
              <c:numCache>
                <c:formatCode>General</c:formatCode>
                <c:ptCount val="15"/>
                <c:pt idx="0">
                  <c:v>105</c:v>
                </c:pt>
                <c:pt idx="1">
                  <c:v>105</c:v>
                </c:pt>
                <c:pt idx="2">
                  <c:v>105</c:v>
                </c:pt>
                <c:pt idx="3">
                  <c:v>105</c:v>
                </c:pt>
                <c:pt idx="4">
                  <c:v>105</c:v>
                </c:pt>
                <c:pt idx="5">
                  <c:v>105</c:v>
                </c:pt>
                <c:pt idx="6">
                  <c:v>107</c:v>
                </c:pt>
                <c:pt idx="7">
                  <c:v>108</c:v>
                </c:pt>
                <c:pt idx="8">
                  <c:v>124</c:v>
                </c:pt>
                <c:pt idx="9">
                  <c:v>127</c:v>
                </c:pt>
                <c:pt idx="10">
                  <c:v>139</c:v>
                </c:pt>
                <c:pt idx="11">
                  <c:v>126</c:v>
                </c:pt>
                <c:pt idx="12">
                  <c:v>129</c:v>
                </c:pt>
                <c:pt idx="13">
                  <c:v>133</c:v>
                </c:pt>
                <c:pt idx="14">
                  <c:v>120</c:v>
                </c:pt>
              </c:numCache>
            </c:numRef>
          </c:val>
          <c:smooth val="0"/>
          <c:extLst>
            <c:ext xmlns:c16="http://schemas.microsoft.com/office/drawing/2014/chart" uri="{C3380CC4-5D6E-409C-BE32-E72D297353CC}">
              <c16:uniqueId val="{00000004-EA1B-4096-AE09-FB393CAAD2AC}"/>
            </c:ext>
          </c:extLst>
        </c:ser>
        <c:dLbls>
          <c:dLblPos val="ctr"/>
          <c:showLegendKey val="0"/>
          <c:showVal val="1"/>
          <c:showCatName val="0"/>
          <c:showSerName val="0"/>
          <c:showPercent val="0"/>
          <c:showBubbleSize val="0"/>
        </c:dLbls>
        <c:smooth val="0"/>
        <c:axId val="-1970844160"/>
        <c:axId val="-1971029776"/>
      </c:lineChart>
      <c:catAx>
        <c:axId val="-1970844160"/>
        <c:scaling>
          <c:orientation val="maxMin"/>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 Year</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029776"/>
        <c:crosses val="autoZero"/>
        <c:auto val="1"/>
        <c:lblAlgn val="ctr"/>
        <c:lblOffset val="100"/>
        <c:noMultiLvlLbl val="0"/>
      </c:catAx>
      <c:valAx>
        <c:axId val="-1971029776"/>
        <c:scaling>
          <c:orientation val="minMax"/>
          <c:max val="205"/>
          <c:min val="70"/>
        </c:scaling>
        <c:delete val="0"/>
        <c:axPos val="r"/>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Number of Students</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8441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GYPSD77</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Topinka</dc:creator>
  <cp:keywords/>
  <dc:description/>
  <cp:lastModifiedBy>GYPSD#77</cp:lastModifiedBy>
  <cp:revision>2</cp:revision>
  <cp:lastPrinted>2018-09-19T05:03:00Z</cp:lastPrinted>
  <dcterms:created xsi:type="dcterms:W3CDTF">2018-09-19T05:16:00Z</dcterms:created>
  <dcterms:modified xsi:type="dcterms:W3CDTF">2018-09-19T05:16:00Z</dcterms:modified>
</cp:coreProperties>
</file>