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F22F1" w14:textId="50BC4D0B" w:rsidR="00407FBD" w:rsidRPr="004116A3" w:rsidRDefault="00C67CB3" w:rsidP="00407FBD">
      <w:pPr>
        <w:spacing w:after="0" w:line="240" w:lineRule="auto"/>
        <w:jc w:val="center"/>
        <w:rPr>
          <w:b/>
          <w:sz w:val="28"/>
          <w:szCs w:val="28"/>
        </w:rPr>
      </w:pPr>
      <w:r w:rsidRPr="004116A3">
        <w:rPr>
          <w:b/>
          <w:sz w:val="28"/>
          <w:szCs w:val="28"/>
        </w:rPr>
        <w:t>Grande Yellow</w:t>
      </w:r>
      <w:r w:rsidR="00407FBD" w:rsidRPr="004116A3">
        <w:rPr>
          <w:b/>
          <w:sz w:val="28"/>
          <w:szCs w:val="28"/>
        </w:rPr>
        <w:t>h</w:t>
      </w:r>
      <w:r w:rsidRPr="004116A3">
        <w:rPr>
          <w:b/>
          <w:sz w:val="28"/>
          <w:szCs w:val="28"/>
        </w:rPr>
        <w:t>ead Public School</w:t>
      </w:r>
      <w:r w:rsidR="00407FBD" w:rsidRPr="004116A3">
        <w:rPr>
          <w:b/>
          <w:sz w:val="28"/>
          <w:szCs w:val="28"/>
        </w:rPr>
        <w:t xml:space="preserve"> Division</w:t>
      </w:r>
    </w:p>
    <w:p w14:paraId="23F8306B" w14:textId="3C80677E" w:rsidR="00505F6A" w:rsidRDefault="00C67CB3" w:rsidP="00407FBD">
      <w:pPr>
        <w:spacing w:after="0" w:line="240" w:lineRule="auto"/>
        <w:jc w:val="center"/>
        <w:rPr>
          <w:b/>
          <w:sz w:val="28"/>
          <w:szCs w:val="28"/>
        </w:rPr>
      </w:pPr>
      <w:r>
        <w:rPr>
          <w:b/>
          <w:sz w:val="28"/>
          <w:szCs w:val="28"/>
        </w:rPr>
        <w:t xml:space="preserve"> </w:t>
      </w:r>
      <w:r w:rsidR="00407769">
        <w:rPr>
          <w:b/>
          <w:sz w:val="28"/>
          <w:szCs w:val="28"/>
        </w:rPr>
        <w:t xml:space="preserve"> Superintendent Profile</w:t>
      </w:r>
    </w:p>
    <w:p w14:paraId="5094C57D" w14:textId="364B55C0" w:rsidR="00371EB5" w:rsidRDefault="0078273A" w:rsidP="00407FBD">
      <w:pPr>
        <w:spacing w:after="0" w:line="240" w:lineRule="auto"/>
        <w:jc w:val="center"/>
        <w:rPr>
          <w:b/>
          <w:sz w:val="28"/>
          <w:szCs w:val="28"/>
        </w:rPr>
      </w:pPr>
      <w:r>
        <w:rPr>
          <w:b/>
          <w:sz w:val="28"/>
          <w:szCs w:val="28"/>
        </w:rPr>
        <w:t>School Council Reps</w:t>
      </w:r>
    </w:p>
    <w:p w14:paraId="032585D7" w14:textId="77777777" w:rsidR="00407FBD" w:rsidRPr="00407FBD" w:rsidRDefault="00407FBD" w:rsidP="00407FBD">
      <w:pPr>
        <w:spacing w:after="0" w:line="240" w:lineRule="auto"/>
        <w:rPr>
          <w:b/>
          <w:sz w:val="14"/>
          <w:szCs w:val="14"/>
        </w:rPr>
      </w:pPr>
    </w:p>
    <w:p w14:paraId="10820143" w14:textId="090BEA34" w:rsidR="00F8312B" w:rsidRDefault="00407769">
      <w:pPr>
        <w:rPr>
          <w:color w:val="202124"/>
          <w:sz w:val="24"/>
          <w:szCs w:val="24"/>
          <w:highlight w:val="white"/>
        </w:rPr>
      </w:pPr>
      <w:r>
        <w:rPr>
          <w:color w:val="202124"/>
          <w:sz w:val="24"/>
          <w:szCs w:val="24"/>
          <w:highlight w:val="white"/>
        </w:rPr>
        <w:t xml:space="preserve">Please choose </w:t>
      </w:r>
      <w:r w:rsidR="004116A3">
        <w:rPr>
          <w:color w:val="202124"/>
          <w:sz w:val="24"/>
          <w:szCs w:val="24"/>
          <w:highlight w:val="white"/>
        </w:rPr>
        <w:t>three</w:t>
      </w:r>
      <w:r>
        <w:rPr>
          <w:color w:val="202124"/>
          <w:sz w:val="24"/>
          <w:szCs w:val="24"/>
          <w:highlight w:val="white"/>
        </w:rPr>
        <w:t xml:space="preserve"> of the competencies below from </w:t>
      </w:r>
      <w:r>
        <w:rPr>
          <w:i/>
          <w:color w:val="202124"/>
          <w:sz w:val="24"/>
          <w:szCs w:val="24"/>
          <w:highlight w:val="white"/>
        </w:rPr>
        <w:t>Superintendent Leadership Quality Standard</w:t>
      </w:r>
      <w:r>
        <w:rPr>
          <w:color w:val="202124"/>
          <w:sz w:val="24"/>
          <w:szCs w:val="24"/>
          <w:highlight w:val="white"/>
        </w:rPr>
        <w:t xml:space="preserve"> you think are most important focuses for the next Superintendent of </w:t>
      </w:r>
      <w:r w:rsidR="00407FBD">
        <w:rPr>
          <w:color w:val="202124"/>
          <w:sz w:val="24"/>
          <w:szCs w:val="24"/>
          <w:highlight w:val="white"/>
        </w:rPr>
        <w:t>Grande Yellowhead</w:t>
      </w:r>
      <w:r>
        <w:rPr>
          <w:color w:val="202124"/>
          <w:sz w:val="24"/>
          <w:szCs w:val="24"/>
          <w:highlight w:val="white"/>
        </w:rPr>
        <w:t xml:space="preserve"> Public School </w:t>
      </w:r>
      <w:r w:rsidR="00407FBD">
        <w:rPr>
          <w:color w:val="202124"/>
          <w:sz w:val="24"/>
          <w:szCs w:val="24"/>
          <w:highlight w:val="white"/>
        </w:rPr>
        <w:t>Division</w:t>
      </w:r>
      <w:r>
        <w:rPr>
          <w:color w:val="202124"/>
          <w:sz w:val="24"/>
          <w:szCs w:val="24"/>
          <w:highlight w:val="white"/>
        </w:rPr>
        <w:t xml:space="preserve">. </w:t>
      </w:r>
      <w:r w:rsidR="007B4AFB">
        <w:rPr>
          <w:color w:val="202124"/>
          <w:sz w:val="24"/>
          <w:szCs w:val="24"/>
          <w:highlight w:val="white"/>
        </w:rPr>
        <w:t xml:space="preserve"> </w:t>
      </w:r>
      <w:r w:rsidR="00FC50B3">
        <w:rPr>
          <w:color w:val="202124"/>
          <w:sz w:val="24"/>
          <w:szCs w:val="24"/>
          <w:highlight w:val="white"/>
        </w:rPr>
        <w:t>We had participants with</w:t>
      </w:r>
      <w:r w:rsidR="00407FBD">
        <w:rPr>
          <w:color w:val="202124"/>
          <w:sz w:val="24"/>
          <w:szCs w:val="24"/>
          <w:highlight w:val="white"/>
        </w:rPr>
        <w:t xml:space="preserve"> </w:t>
      </w:r>
      <w:r w:rsidR="001F018E">
        <w:rPr>
          <w:color w:val="202124"/>
          <w:sz w:val="24"/>
          <w:szCs w:val="24"/>
          <w:highlight w:val="white"/>
        </w:rPr>
        <w:t>priorities noted</w:t>
      </w:r>
      <w:r w:rsidR="00533255">
        <w:rPr>
          <w:color w:val="202124"/>
          <w:sz w:val="24"/>
          <w:szCs w:val="24"/>
          <w:highlight w:val="white"/>
        </w:rPr>
        <w:t>.</w:t>
      </w:r>
    </w:p>
    <w:p w14:paraId="23F8306D" w14:textId="69F33A12" w:rsidR="00505F6A" w:rsidRPr="001F018E" w:rsidRDefault="005C06F3" w:rsidP="009A2504">
      <w:pPr>
        <w:shd w:val="clear" w:color="auto" w:fill="FFFFFF"/>
        <w:rPr>
          <w:b/>
          <w:bCs/>
          <w:color w:val="202124"/>
          <w:sz w:val="24"/>
          <w:szCs w:val="24"/>
          <w:highlight w:val="white"/>
        </w:rPr>
      </w:pPr>
      <w:r>
        <w:rPr>
          <w:color w:val="202124"/>
          <w:sz w:val="24"/>
          <w:szCs w:val="24"/>
          <w:highlight w:val="white"/>
        </w:rPr>
        <w:t xml:space="preserve">   </w:t>
      </w:r>
      <w:r w:rsidR="00407769" w:rsidRPr="00C67CB3">
        <w:rPr>
          <w:b/>
          <w:bCs/>
          <w:color w:val="202124"/>
          <w:sz w:val="24"/>
          <w:szCs w:val="24"/>
        </w:rPr>
        <w:t>Competency 1:  Building Effective Relationships</w:t>
      </w:r>
    </w:p>
    <w:tbl>
      <w:tblPr>
        <w:tblStyle w:val="TableGrid"/>
        <w:tblW w:w="0" w:type="auto"/>
        <w:tblLook w:val="04A0" w:firstRow="1" w:lastRow="0" w:firstColumn="1" w:lastColumn="0" w:noHBand="0" w:noVBand="1"/>
      </w:tblPr>
      <w:tblGrid>
        <w:gridCol w:w="3116"/>
        <w:gridCol w:w="3117"/>
        <w:gridCol w:w="3117"/>
      </w:tblGrid>
      <w:tr w:rsidR="003F2501" w14:paraId="0E6F4011" w14:textId="77777777" w:rsidTr="003F2501">
        <w:tc>
          <w:tcPr>
            <w:tcW w:w="3116" w:type="dxa"/>
          </w:tcPr>
          <w:p w14:paraId="1D1E10C2" w14:textId="0054F955" w:rsidR="003F2501" w:rsidRDefault="003F2501" w:rsidP="003F2501">
            <w:pPr>
              <w:jc w:val="center"/>
              <w:rPr>
                <w:color w:val="202124"/>
                <w:sz w:val="24"/>
                <w:szCs w:val="24"/>
                <w:highlight w:val="white"/>
              </w:rPr>
            </w:pPr>
            <w:bookmarkStart w:id="0" w:name="_Hlk179716001"/>
            <w:r>
              <w:rPr>
                <w:color w:val="202124"/>
                <w:sz w:val="24"/>
                <w:szCs w:val="24"/>
                <w:highlight w:val="white"/>
              </w:rPr>
              <w:t>Priority 1</w:t>
            </w:r>
          </w:p>
        </w:tc>
        <w:tc>
          <w:tcPr>
            <w:tcW w:w="3117" w:type="dxa"/>
          </w:tcPr>
          <w:p w14:paraId="25759847" w14:textId="1A7762E4" w:rsidR="003F2501" w:rsidRDefault="003F2501" w:rsidP="003F2501">
            <w:pPr>
              <w:jc w:val="center"/>
              <w:rPr>
                <w:color w:val="202124"/>
                <w:sz w:val="24"/>
                <w:szCs w:val="24"/>
                <w:highlight w:val="white"/>
              </w:rPr>
            </w:pPr>
            <w:r>
              <w:rPr>
                <w:color w:val="202124"/>
                <w:sz w:val="24"/>
                <w:szCs w:val="24"/>
                <w:highlight w:val="white"/>
              </w:rPr>
              <w:t>Priority 2</w:t>
            </w:r>
          </w:p>
        </w:tc>
        <w:tc>
          <w:tcPr>
            <w:tcW w:w="3117" w:type="dxa"/>
          </w:tcPr>
          <w:p w14:paraId="2B5F9F4E" w14:textId="2192E2DB" w:rsidR="003F2501" w:rsidRDefault="003F2501" w:rsidP="003F2501">
            <w:pPr>
              <w:jc w:val="center"/>
              <w:rPr>
                <w:color w:val="202124"/>
                <w:sz w:val="24"/>
                <w:szCs w:val="24"/>
                <w:highlight w:val="white"/>
              </w:rPr>
            </w:pPr>
            <w:r>
              <w:rPr>
                <w:color w:val="202124"/>
                <w:sz w:val="24"/>
                <w:szCs w:val="24"/>
                <w:highlight w:val="white"/>
              </w:rPr>
              <w:t>Priority 3</w:t>
            </w:r>
          </w:p>
        </w:tc>
      </w:tr>
      <w:tr w:rsidR="003F2501" w14:paraId="1D6C31DD" w14:textId="77777777" w:rsidTr="003F2501">
        <w:tc>
          <w:tcPr>
            <w:tcW w:w="3116" w:type="dxa"/>
          </w:tcPr>
          <w:p w14:paraId="5CF97FA6" w14:textId="2355A58E" w:rsidR="003F2501" w:rsidRDefault="003F2501" w:rsidP="004C1341">
            <w:pPr>
              <w:jc w:val="center"/>
              <w:rPr>
                <w:color w:val="202124"/>
                <w:sz w:val="24"/>
                <w:szCs w:val="24"/>
                <w:highlight w:val="white"/>
              </w:rPr>
            </w:pPr>
          </w:p>
        </w:tc>
        <w:tc>
          <w:tcPr>
            <w:tcW w:w="3117" w:type="dxa"/>
          </w:tcPr>
          <w:p w14:paraId="6AA2FB56" w14:textId="27BCFB93" w:rsidR="003F2501" w:rsidRDefault="003F2501" w:rsidP="004C1341">
            <w:pPr>
              <w:jc w:val="center"/>
              <w:rPr>
                <w:color w:val="202124"/>
                <w:sz w:val="24"/>
                <w:szCs w:val="24"/>
                <w:highlight w:val="white"/>
              </w:rPr>
            </w:pPr>
          </w:p>
        </w:tc>
        <w:tc>
          <w:tcPr>
            <w:tcW w:w="3117" w:type="dxa"/>
          </w:tcPr>
          <w:p w14:paraId="09911200" w14:textId="180BF8B7" w:rsidR="003F2501" w:rsidRDefault="003F2501" w:rsidP="004C1341">
            <w:pPr>
              <w:jc w:val="center"/>
              <w:rPr>
                <w:color w:val="202124"/>
                <w:sz w:val="24"/>
                <w:szCs w:val="24"/>
                <w:highlight w:val="white"/>
              </w:rPr>
            </w:pPr>
          </w:p>
        </w:tc>
      </w:tr>
    </w:tbl>
    <w:bookmarkEnd w:id="0"/>
    <w:p w14:paraId="0AE96B0E" w14:textId="312F31E3" w:rsidR="00787D78" w:rsidRDefault="00476A76" w:rsidP="009A2504">
      <w:pPr>
        <w:shd w:val="clear" w:color="auto" w:fill="FFFFFF"/>
        <w:rPr>
          <w:color w:val="202124"/>
          <w:sz w:val="24"/>
          <w:szCs w:val="24"/>
          <w:highlight w:val="white"/>
        </w:rPr>
      </w:pPr>
      <w:r>
        <w:rPr>
          <w:color w:val="202124"/>
          <w:sz w:val="24"/>
          <w:szCs w:val="24"/>
          <w:highlight w:val="white"/>
        </w:rPr>
        <w:t xml:space="preserve">Total </w:t>
      </w:r>
    </w:p>
    <w:p w14:paraId="23F8306E" w14:textId="77777777" w:rsidR="00505F6A" w:rsidRDefault="00407769">
      <w:pPr>
        <w:shd w:val="clear" w:color="auto" w:fill="FFFFFF"/>
        <w:ind w:left="160"/>
        <w:rPr>
          <w:color w:val="202124"/>
          <w:sz w:val="24"/>
          <w:szCs w:val="24"/>
          <w:highlight w:val="white"/>
        </w:rPr>
      </w:pPr>
      <w:r>
        <w:rPr>
          <w:color w:val="202124"/>
          <w:sz w:val="24"/>
          <w:szCs w:val="24"/>
          <w:highlight w:val="white"/>
        </w:rPr>
        <w:t>A superintendent establishes a welcoming, caring, respectful and safe learning environment by building positive and productive relationships with members of the school community and the local community.</w:t>
      </w:r>
    </w:p>
    <w:p w14:paraId="23F8306F" w14:textId="2336E84E" w:rsidR="00505F6A" w:rsidRPr="00887144" w:rsidRDefault="00407769">
      <w:pPr>
        <w:shd w:val="clear" w:color="auto" w:fill="FFFFFF"/>
        <w:ind w:left="160"/>
        <w:rPr>
          <w:b/>
          <w:bCs/>
          <w:color w:val="202124"/>
          <w:sz w:val="24"/>
          <w:szCs w:val="24"/>
          <w:highlight w:val="white"/>
        </w:rPr>
      </w:pPr>
      <w:r w:rsidRPr="00887144">
        <w:rPr>
          <w:b/>
          <w:bCs/>
          <w:color w:val="202124"/>
          <w:sz w:val="24"/>
          <w:szCs w:val="24"/>
          <w:highlight w:val="white"/>
        </w:rPr>
        <w:t>Competency 2: Modelling a Commitment to Professional Learning</w:t>
      </w:r>
    </w:p>
    <w:tbl>
      <w:tblPr>
        <w:tblStyle w:val="TableGrid"/>
        <w:tblW w:w="0" w:type="auto"/>
        <w:tblLook w:val="04A0" w:firstRow="1" w:lastRow="0" w:firstColumn="1" w:lastColumn="0" w:noHBand="0" w:noVBand="1"/>
      </w:tblPr>
      <w:tblGrid>
        <w:gridCol w:w="3116"/>
        <w:gridCol w:w="3117"/>
        <w:gridCol w:w="3117"/>
      </w:tblGrid>
      <w:tr w:rsidR="00C52100" w:rsidRPr="00C52100" w14:paraId="0F1AC1BE" w14:textId="77777777" w:rsidTr="00315F0B">
        <w:tc>
          <w:tcPr>
            <w:tcW w:w="3116" w:type="dxa"/>
          </w:tcPr>
          <w:p w14:paraId="6C7C86DC" w14:textId="77777777" w:rsidR="00C52100" w:rsidRPr="00C52100" w:rsidRDefault="00C52100" w:rsidP="00C52100">
            <w:pPr>
              <w:shd w:val="clear" w:color="auto" w:fill="FFFFFF"/>
              <w:spacing w:after="160" w:line="259" w:lineRule="auto"/>
              <w:ind w:left="160"/>
              <w:jc w:val="center"/>
              <w:rPr>
                <w:color w:val="202124"/>
                <w:sz w:val="24"/>
                <w:szCs w:val="24"/>
                <w:highlight w:val="white"/>
              </w:rPr>
            </w:pPr>
            <w:r w:rsidRPr="00C52100">
              <w:rPr>
                <w:color w:val="202124"/>
                <w:sz w:val="24"/>
                <w:szCs w:val="24"/>
                <w:highlight w:val="white"/>
              </w:rPr>
              <w:t>Priority 1</w:t>
            </w:r>
          </w:p>
        </w:tc>
        <w:tc>
          <w:tcPr>
            <w:tcW w:w="3117" w:type="dxa"/>
          </w:tcPr>
          <w:p w14:paraId="004E9725" w14:textId="77777777" w:rsidR="00C52100" w:rsidRPr="00C52100" w:rsidRDefault="00C52100" w:rsidP="00C52100">
            <w:pPr>
              <w:shd w:val="clear" w:color="auto" w:fill="FFFFFF"/>
              <w:spacing w:after="160" w:line="259" w:lineRule="auto"/>
              <w:ind w:left="160"/>
              <w:jc w:val="center"/>
              <w:rPr>
                <w:color w:val="202124"/>
                <w:sz w:val="24"/>
                <w:szCs w:val="24"/>
                <w:highlight w:val="white"/>
              </w:rPr>
            </w:pPr>
            <w:r w:rsidRPr="00C52100">
              <w:rPr>
                <w:color w:val="202124"/>
                <w:sz w:val="24"/>
                <w:szCs w:val="24"/>
                <w:highlight w:val="white"/>
              </w:rPr>
              <w:t>Priority 2</w:t>
            </w:r>
          </w:p>
        </w:tc>
        <w:tc>
          <w:tcPr>
            <w:tcW w:w="3117" w:type="dxa"/>
          </w:tcPr>
          <w:p w14:paraId="6209053C" w14:textId="77777777" w:rsidR="00C52100" w:rsidRPr="00C52100" w:rsidRDefault="00C52100" w:rsidP="00C52100">
            <w:pPr>
              <w:shd w:val="clear" w:color="auto" w:fill="FFFFFF"/>
              <w:spacing w:after="160" w:line="259" w:lineRule="auto"/>
              <w:ind w:left="160"/>
              <w:jc w:val="center"/>
              <w:rPr>
                <w:color w:val="202124"/>
                <w:sz w:val="24"/>
                <w:szCs w:val="24"/>
                <w:highlight w:val="white"/>
              </w:rPr>
            </w:pPr>
            <w:r w:rsidRPr="00C52100">
              <w:rPr>
                <w:color w:val="202124"/>
                <w:sz w:val="24"/>
                <w:szCs w:val="24"/>
                <w:highlight w:val="white"/>
              </w:rPr>
              <w:t>Priority 3</w:t>
            </w:r>
          </w:p>
        </w:tc>
      </w:tr>
      <w:tr w:rsidR="00C52100" w:rsidRPr="00C52100" w14:paraId="02878C52" w14:textId="77777777" w:rsidTr="00315F0B">
        <w:tc>
          <w:tcPr>
            <w:tcW w:w="3116" w:type="dxa"/>
          </w:tcPr>
          <w:p w14:paraId="108749F4" w14:textId="1FB4139B" w:rsidR="00C52100" w:rsidRPr="00C52100" w:rsidRDefault="00C52100" w:rsidP="00C52100">
            <w:pPr>
              <w:shd w:val="clear" w:color="auto" w:fill="FFFFFF"/>
              <w:spacing w:after="160" w:line="259" w:lineRule="auto"/>
              <w:ind w:left="160"/>
              <w:rPr>
                <w:color w:val="202124"/>
                <w:sz w:val="24"/>
                <w:szCs w:val="24"/>
                <w:highlight w:val="white"/>
              </w:rPr>
            </w:pPr>
          </w:p>
        </w:tc>
        <w:tc>
          <w:tcPr>
            <w:tcW w:w="3117" w:type="dxa"/>
          </w:tcPr>
          <w:p w14:paraId="312CC466" w14:textId="17D856A5" w:rsidR="00C52100" w:rsidRPr="00C52100" w:rsidRDefault="00C52100" w:rsidP="00C52100">
            <w:pPr>
              <w:shd w:val="clear" w:color="auto" w:fill="FFFFFF"/>
              <w:spacing w:after="160" w:line="259" w:lineRule="auto"/>
              <w:ind w:left="160"/>
              <w:rPr>
                <w:color w:val="202124"/>
                <w:sz w:val="24"/>
                <w:szCs w:val="24"/>
                <w:highlight w:val="white"/>
              </w:rPr>
            </w:pPr>
          </w:p>
        </w:tc>
        <w:tc>
          <w:tcPr>
            <w:tcW w:w="3117" w:type="dxa"/>
          </w:tcPr>
          <w:p w14:paraId="1D773DB8" w14:textId="7A999D24" w:rsidR="00C52100" w:rsidRPr="00C52100" w:rsidRDefault="00C52100" w:rsidP="00072CF3">
            <w:pPr>
              <w:shd w:val="clear" w:color="auto" w:fill="FFFFFF"/>
              <w:spacing w:after="160" w:line="259" w:lineRule="auto"/>
              <w:ind w:left="160"/>
              <w:jc w:val="center"/>
              <w:rPr>
                <w:color w:val="202124"/>
                <w:sz w:val="24"/>
                <w:szCs w:val="24"/>
                <w:highlight w:val="white"/>
              </w:rPr>
            </w:pPr>
          </w:p>
        </w:tc>
      </w:tr>
    </w:tbl>
    <w:p w14:paraId="5AAA1D48" w14:textId="722E5973" w:rsidR="00476A76" w:rsidRDefault="00072CF3">
      <w:pPr>
        <w:shd w:val="clear" w:color="auto" w:fill="FFFFFF"/>
        <w:ind w:left="160"/>
        <w:rPr>
          <w:color w:val="202124"/>
          <w:sz w:val="24"/>
          <w:szCs w:val="24"/>
          <w:highlight w:val="white"/>
        </w:rPr>
      </w:pPr>
      <w:r>
        <w:rPr>
          <w:color w:val="202124"/>
          <w:sz w:val="24"/>
          <w:szCs w:val="24"/>
          <w:highlight w:val="white"/>
        </w:rPr>
        <w:t xml:space="preserve">Total </w:t>
      </w:r>
    </w:p>
    <w:p w14:paraId="23F83070" w14:textId="77777777" w:rsidR="00505F6A" w:rsidRDefault="00407769">
      <w:pPr>
        <w:shd w:val="clear" w:color="auto" w:fill="FFFFFF"/>
        <w:ind w:left="160"/>
        <w:rPr>
          <w:color w:val="202124"/>
          <w:sz w:val="24"/>
          <w:szCs w:val="24"/>
          <w:highlight w:val="white"/>
        </w:rPr>
      </w:pPr>
      <w:r>
        <w:rPr>
          <w:color w:val="202124"/>
          <w:sz w:val="24"/>
          <w:szCs w:val="24"/>
          <w:highlight w:val="white"/>
        </w:rPr>
        <w:t xml:space="preserve">A superintendent engages in career-long professional learning and ongoing critical reflection, identifying and acting on research informed opportunities for enhancing leadership, teaching and learning, and completes professional learning on the code of professional conduct for teachers and teacher leaders. </w:t>
      </w:r>
    </w:p>
    <w:p w14:paraId="23F83071" w14:textId="5C2ED8ED" w:rsidR="00505F6A" w:rsidRPr="009801F5" w:rsidRDefault="00407769">
      <w:pPr>
        <w:shd w:val="clear" w:color="auto" w:fill="FFFFFF"/>
        <w:ind w:left="160"/>
        <w:rPr>
          <w:b/>
          <w:bCs/>
          <w:color w:val="202124"/>
          <w:sz w:val="24"/>
          <w:szCs w:val="24"/>
        </w:rPr>
      </w:pPr>
      <w:r w:rsidRPr="00C67CB3">
        <w:rPr>
          <w:b/>
          <w:bCs/>
          <w:color w:val="202124"/>
          <w:sz w:val="24"/>
          <w:szCs w:val="24"/>
        </w:rPr>
        <w:t>Competency 3: Visionary Leadership</w:t>
      </w:r>
    </w:p>
    <w:tbl>
      <w:tblPr>
        <w:tblStyle w:val="TableGrid"/>
        <w:tblW w:w="0" w:type="auto"/>
        <w:tblLook w:val="04A0" w:firstRow="1" w:lastRow="0" w:firstColumn="1" w:lastColumn="0" w:noHBand="0" w:noVBand="1"/>
      </w:tblPr>
      <w:tblGrid>
        <w:gridCol w:w="3116"/>
        <w:gridCol w:w="3117"/>
        <w:gridCol w:w="3117"/>
      </w:tblGrid>
      <w:tr w:rsidR="00072CF3" w:rsidRPr="00072CF3" w14:paraId="03240C34" w14:textId="77777777" w:rsidTr="00315F0B">
        <w:tc>
          <w:tcPr>
            <w:tcW w:w="3116" w:type="dxa"/>
          </w:tcPr>
          <w:p w14:paraId="186C3664" w14:textId="77777777" w:rsidR="00072CF3" w:rsidRPr="00072CF3" w:rsidRDefault="00072CF3" w:rsidP="00072CF3">
            <w:pPr>
              <w:shd w:val="clear" w:color="auto" w:fill="FFFFFF"/>
              <w:spacing w:after="160" w:line="259" w:lineRule="auto"/>
              <w:ind w:left="160"/>
              <w:jc w:val="center"/>
              <w:rPr>
                <w:color w:val="202124"/>
                <w:sz w:val="24"/>
                <w:szCs w:val="24"/>
                <w:highlight w:val="white"/>
              </w:rPr>
            </w:pPr>
            <w:r w:rsidRPr="00072CF3">
              <w:rPr>
                <w:color w:val="202124"/>
                <w:sz w:val="24"/>
                <w:szCs w:val="24"/>
                <w:highlight w:val="white"/>
              </w:rPr>
              <w:t>Priority 1</w:t>
            </w:r>
          </w:p>
        </w:tc>
        <w:tc>
          <w:tcPr>
            <w:tcW w:w="3117" w:type="dxa"/>
          </w:tcPr>
          <w:p w14:paraId="0A6F585F" w14:textId="77777777" w:rsidR="00072CF3" w:rsidRPr="00072CF3" w:rsidRDefault="00072CF3" w:rsidP="00072CF3">
            <w:pPr>
              <w:shd w:val="clear" w:color="auto" w:fill="FFFFFF"/>
              <w:spacing w:after="160" w:line="259" w:lineRule="auto"/>
              <w:ind w:left="160"/>
              <w:jc w:val="center"/>
              <w:rPr>
                <w:color w:val="202124"/>
                <w:sz w:val="24"/>
                <w:szCs w:val="24"/>
                <w:highlight w:val="white"/>
              </w:rPr>
            </w:pPr>
            <w:r w:rsidRPr="00072CF3">
              <w:rPr>
                <w:color w:val="202124"/>
                <w:sz w:val="24"/>
                <w:szCs w:val="24"/>
                <w:highlight w:val="white"/>
              </w:rPr>
              <w:t>Priority 2</w:t>
            </w:r>
          </w:p>
        </w:tc>
        <w:tc>
          <w:tcPr>
            <w:tcW w:w="3117" w:type="dxa"/>
          </w:tcPr>
          <w:p w14:paraId="6C9DF745" w14:textId="77777777" w:rsidR="00072CF3" w:rsidRPr="00072CF3" w:rsidRDefault="00072CF3" w:rsidP="00072CF3">
            <w:pPr>
              <w:shd w:val="clear" w:color="auto" w:fill="FFFFFF"/>
              <w:spacing w:after="160" w:line="259" w:lineRule="auto"/>
              <w:ind w:left="160"/>
              <w:jc w:val="center"/>
              <w:rPr>
                <w:color w:val="202124"/>
                <w:sz w:val="24"/>
                <w:szCs w:val="24"/>
                <w:highlight w:val="white"/>
              </w:rPr>
            </w:pPr>
            <w:r w:rsidRPr="00072CF3">
              <w:rPr>
                <w:color w:val="202124"/>
                <w:sz w:val="24"/>
                <w:szCs w:val="24"/>
                <w:highlight w:val="white"/>
              </w:rPr>
              <w:t>Priority 3</w:t>
            </w:r>
          </w:p>
        </w:tc>
      </w:tr>
      <w:tr w:rsidR="00072CF3" w:rsidRPr="00072CF3" w14:paraId="0867EFD9" w14:textId="77777777" w:rsidTr="00315F0B">
        <w:tc>
          <w:tcPr>
            <w:tcW w:w="3116" w:type="dxa"/>
          </w:tcPr>
          <w:p w14:paraId="18F4DD5E" w14:textId="416BD722" w:rsidR="00072CF3" w:rsidRPr="00072CF3" w:rsidRDefault="00072CF3" w:rsidP="00AD1D0F">
            <w:pPr>
              <w:shd w:val="clear" w:color="auto" w:fill="FFFFFF"/>
              <w:spacing w:after="160" w:line="259" w:lineRule="auto"/>
              <w:ind w:left="160"/>
              <w:jc w:val="center"/>
              <w:rPr>
                <w:color w:val="202124"/>
                <w:sz w:val="24"/>
                <w:szCs w:val="24"/>
                <w:highlight w:val="white"/>
              </w:rPr>
            </w:pPr>
          </w:p>
        </w:tc>
        <w:tc>
          <w:tcPr>
            <w:tcW w:w="3117" w:type="dxa"/>
          </w:tcPr>
          <w:p w14:paraId="04DD14A7" w14:textId="61290CE4" w:rsidR="00072CF3" w:rsidRPr="00072CF3" w:rsidRDefault="00072CF3" w:rsidP="00AD1D0F">
            <w:pPr>
              <w:shd w:val="clear" w:color="auto" w:fill="FFFFFF"/>
              <w:spacing w:after="160" w:line="259" w:lineRule="auto"/>
              <w:ind w:left="160"/>
              <w:jc w:val="center"/>
              <w:rPr>
                <w:color w:val="202124"/>
                <w:sz w:val="24"/>
                <w:szCs w:val="24"/>
                <w:highlight w:val="white"/>
              </w:rPr>
            </w:pPr>
          </w:p>
        </w:tc>
        <w:tc>
          <w:tcPr>
            <w:tcW w:w="3117" w:type="dxa"/>
          </w:tcPr>
          <w:p w14:paraId="306E094F" w14:textId="7EE062FD" w:rsidR="00072CF3" w:rsidRPr="00072CF3" w:rsidRDefault="00072CF3" w:rsidP="00AD1D0F">
            <w:pPr>
              <w:shd w:val="clear" w:color="auto" w:fill="FFFFFF"/>
              <w:spacing w:after="160" w:line="259" w:lineRule="auto"/>
              <w:ind w:left="160"/>
              <w:jc w:val="center"/>
              <w:rPr>
                <w:color w:val="202124"/>
                <w:sz w:val="24"/>
                <w:szCs w:val="24"/>
                <w:highlight w:val="white"/>
              </w:rPr>
            </w:pPr>
          </w:p>
        </w:tc>
      </w:tr>
    </w:tbl>
    <w:p w14:paraId="11A7193A" w14:textId="01426DCA" w:rsidR="00072CF3" w:rsidRDefault="00AC2E28">
      <w:pPr>
        <w:shd w:val="clear" w:color="auto" w:fill="FFFFFF"/>
        <w:ind w:left="160"/>
        <w:rPr>
          <w:color w:val="202124"/>
          <w:sz w:val="24"/>
          <w:szCs w:val="24"/>
          <w:highlight w:val="white"/>
        </w:rPr>
      </w:pPr>
      <w:r>
        <w:rPr>
          <w:color w:val="202124"/>
          <w:sz w:val="24"/>
          <w:szCs w:val="24"/>
          <w:highlight w:val="white"/>
        </w:rPr>
        <w:t xml:space="preserve">Total </w:t>
      </w:r>
    </w:p>
    <w:p w14:paraId="23F83072" w14:textId="77777777" w:rsidR="00505F6A" w:rsidRDefault="00407769">
      <w:pPr>
        <w:shd w:val="clear" w:color="auto" w:fill="FFFFFF"/>
        <w:ind w:left="160"/>
        <w:rPr>
          <w:color w:val="202124"/>
          <w:sz w:val="24"/>
          <w:szCs w:val="24"/>
          <w:highlight w:val="white"/>
        </w:rPr>
      </w:pPr>
      <w:r>
        <w:rPr>
          <w:color w:val="202124"/>
          <w:sz w:val="24"/>
          <w:szCs w:val="24"/>
          <w:highlight w:val="white"/>
        </w:rPr>
        <w:t xml:space="preserve">A superintendent engages with the school community in implementing a vision of a preferred future for student success, based on common values and beliefs. </w:t>
      </w:r>
    </w:p>
    <w:p w14:paraId="23F83073" w14:textId="4B9E9E04" w:rsidR="00505F6A" w:rsidRPr="009801F5" w:rsidRDefault="00407769">
      <w:pPr>
        <w:shd w:val="clear" w:color="auto" w:fill="FFFFFF"/>
        <w:ind w:left="160"/>
        <w:rPr>
          <w:b/>
          <w:bCs/>
          <w:color w:val="202124"/>
          <w:sz w:val="24"/>
          <w:szCs w:val="24"/>
        </w:rPr>
      </w:pPr>
      <w:r w:rsidRPr="009801F5">
        <w:rPr>
          <w:b/>
          <w:bCs/>
          <w:color w:val="202124"/>
          <w:sz w:val="24"/>
          <w:szCs w:val="24"/>
        </w:rPr>
        <w:t>Competency 4: Leading Learning</w:t>
      </w:r>
    </w:p>
    <w:tbl>
      <w:tblPr>
        <w:tblStyle w:val="TableGrid"/>
        <w:tblW w:w="0" w:type="auto"/>
        <w:tblLook w:val="04A0" w:firstRow="1" w:lastRow="0" w:firstColumn="1" w:lastColumn="0" w:noHBand="0" w:noVBand="1"/>
      </w:tblPr>
      <w:tblGrid>
        <w:gridCol w:w="3116"/>
        <w:gridCol w:w="3117"/>
        <w:gridCol w:w="3117"/>
      </w:tblGrid>
      <w:tr w:rsidR="00AC2E28" w:rsidRPr="00AC2E28" w14:paraId="2DC00DAD" w14:textId="77777777" w:rsidTr="00315F0B">
        <w:tc>
          <w:tcPr>
            <w:tcW w:w="3116" w:type="dxa"/>
          </w:tcPr>
          <w:p w14:paraId="25BEAB68" w14:textId="77777777" w:rsidR="00AC2E28" w:rsidRPr="00AC2E28" w:rsidRDefault="00AC2E28" w:rsidP="00AC2E28">
            <w:pPr>
              <w:shd w:val="clear" w:color="auto" w:fill="FFFFFF"/>
              <w:spacing w:after="160" w:line="259" w:lineRule="auto"/>
              <w:ind w:left="160"/>
              <w:jc w:val="center"/>
              <w:rPr>
                <w:color w:val="202124"/>
                <w:sz w:val="24"/>
                <w:szCs w:val="24"/>
                <w:highlight w:val="white"/>
              </w:rPr>
            </w:pPr>
            <w:r w:rsidRPr="00AC2E28">
              <w:rPr>
                <w:color w:val="202124"/>
                <w:sz w:val="24"/>
                <w:szCs w:val="24"/>
                <w:highlight w:val="white"/>
              </w:rPr>
              <w:t>Priority 1</w:t>
            </w:r>
          </w:p>
        </w:tc>
        <w:tc>
          <w:tcPr>
            <w:tcW w:w="3117" w:type="dxa"/>
          </w:tcPr>
          <w:p w14:paraId="1EC27EE3" w14:textId="77777777" w:rsidR="00AC2E28" w:rsidRPr="00AC2E28" w:rsidRDefault="00AC2E28" w:rsidP="00AC2E28">
            <w:pPr>
              <w:shd w:val="clear" w:color="auto" w:fill="FFFFFF"/>
              <w:spacing w:after="160" w:line="259" w:lineRule="auto"/>
              <w:ind w:left="160"/>
              <w:jc w:val="center"/>
              <w:rPr>
                <w:color w:val="202124"/>
                <w:sz w:val="24"/>
                <w:szCs w:val="24"/>
                <w:highlight w:val="white"/>
              </w:rPr>
            </w:pPr>
            <w:r w:rsidRPr="00AC2E28">
              <w:rPr>
                <w:color w:val="202124"/>
                <w:sz w:val="24"/>
                <w:szCs w:val="24"/>
                <w:highlight w:val="white"/>
              </w:rPr>
              <w:t>Priority 2</w:t>
            </w:r>
          </w:p>
        </w:tc>
        <w:tc>
          <w:tcPr>
            <w:tcW w:w="3117" w:type="dxa"/>
          </w:tcPr>
          <w:p w14:paraId="268A9698" w14:textId="77777777" w:rsidR="00AC2E28" w:rsidRPr="00AC2E28" w:rsidRDefault="00AC2E28" w:rsidP="00AC2E28">
            <w:pPr>
              <w:shd w:val="clear" w:color="auto" w:fill="FFFFFF"/>
              <w:spacing w:after="160" w:line="259" w:lineRule="auto"/>
              <w:ind w:left="160"/>
              <w:jc w:val="center"/>
              <w:rPr>
                <w:color w:val="202124"/>
                <w:sz w:val="24"/>
                <w:szCs w:val="24"/>
                <w:highlight w:val="white"/>
              </w:rPr>
            </w:pPr>
            <w:r w:rsidRPr="00AC2E28">
              <w:rPr>
                <w:color w:val="202124"/>
                <w:sz w:val="24"/>
                <w:szCs w:val="24"/>
                <w:highlight w:val="white"/>
              </w:rPr>
              <w:t>Priority 3</w:t>
            </w:r>
          </w:p>
        </w:tc>
      </w:tr>
      <w:tr w:rsidR="00AC2E28" w:rsidRPr="00AC2E28" w14:paraId="16498557" w14:textId="77777777" w:rsidTr="00315F0B">
        <w:tc>
          <w:tcPr>
            <w:tcW w:w="3116" w:type="dxa"/>
          </w:tcPr>
          <w:p w14:paraId="3BD97220" w14:textId="33464D19" w:rsidR="00AC2E28" w:rsidRPr="00AC2E28" w:rsidRDefault="00AC2E28" w:rsidP="00D25D88">
            <w:pPr>
              <w:shd w:val="clear" w:color="auto" w:fill="FFFFFF"/>
              <w:spacing w:after="160" w:line="259" w:lineRule="auto"/>
              <w:ind w:left="160"/>
              <w:jc w:val="center"/>
              <w:rPr>
                <w:color w:val="202124"/>
                <w:sz w:val="24"/>
                <w:szCs w:val="24"/>
                <w:highlight w:val="white"/>
              </w:rPr>
            </w:pPr>
          </w:p>
        </w:tc>
        <w:tc>
          <w:tcPr>
            <w:tcW w:w="3117" w:type="dxa"/>
          </w:tcPr>
          <w:p w14:paraId="1FFC0C05" w14:textId="6C7A84D2" w:rsidR="00AC2E28" w:rsidRPr="00AC2E28" w:rsidRDefault="00AC2E28" w:rsidP="00D25D88">
            <w:pPr>
              <w:shd w:val="clear" w:color="auto" w:fill="FFFFFF"/>
              <w:spacing w:after="160" w:line="259" w:lineRule="auto"/>
              <w:ind w:left="160"/>
              <w:jc w:val="center"/>
              <w:rPr>
                <w:color w:val="202124"/>
                <w:sz w:val="24"/>
                <w:szCs w:val="24"/>
                <w:highlight w:val="white"/>
              </w:rPr>
            </w:pPr>
          </w:p>
        </w:tc>
        <w:tc>
          <w:tcPr>
            <w:tcW w:w="3117" w:type="dxa"/>
          </w:tcPr>
          <w:p w14:paraId="2365DFDA" w14:textId="2B08912C" w:rsidR="00AC2E28" w:rsidRPr="00AC2E28" w:rsidRDefault="00AC2E28" w:rsidP="00D25D88">
            <w:pPr>
              <w:shd w:val="clear" w:color="auto" w:fill="FFFFFF"/>
              <w:spacing w:after="160" w:line="259" w:lineRule="auto"/>
              <w:ind w:left="160"/>
              <w:jc w:val="center"/>
              <w:rPr>
                <w:color w:val="202124"/>
                <w:sz w:val="24"/>
                <w:szCs w:val="24"/>
                <w:highlight w:val="white"/>
              </w:rPr>
            </w:pPr>
          </w:p>
        </w:tc>
      </w:tr>
    </w:tbl>
    <w:p w14:paraId="6ED2BD8D" w14:textId="02B61DB4" w:rsidR="00AC2E28" w:rsidRDefault="00D25D88">
      <w:pPr>
        <w:shd w:val="clear" w:color="auto" w:fill="FFFFFF"/>
        <w:ind w:left="160"/>
        <w:rPr>
          <w:color w:val="202124"/>
          <w:sz w:val="24"/>
          <w:szCs w:val="24"/>
          <w:highlight w:val="white"/>
        </w:rPr>
      </w:pPr>
      <w:r>
        <w:rPr>
          <w:color w:val="202124"/>
          <w:sz w:val="24"/>
          <w:szCs w:val="24"/>
          <w:highlight w:val="white"/>
        </w:rPr>
        <w:t xml:space="preserve">Total </w:t>
      </w:r>
    </w:p>
    <w:p w14:paraId="23F83074" w14:textId="77777777" w:rsidR="00505F6A" w:rsidRDefault="00407769">
      <w:pPr>
        <w:shd w:val="clear" w:color="auto" w:fill="FFFFFF"/>
        <w:ind w:left="160"/>
        <w:rPr>
          <w:color w:val="202124"/>
          <w:sz w:val="24"/>
          <w:szCs w:val="24"/>
          <w:highlight w:val="white"/>
        </w:rPr>
      </w:pPr>
      <w:r>
        <w:rPr>
          <w:color w:val="202124"/>
          <w:sz w:val="24"/>
          <w:szCs w:val="24"/>
          <w:highlight w:val="white"/>
        </w:rPr>
        <w:lastRenderedPageBreak/>
        <w:t xml:space="preserve">A superintendent establishes and sustains a learning culture in the school community that promotes ongoing critical reflection on practice, shared responsibility for student success and continuous improvement. </w:t>
      </w:r>
    </w:p>
    <w:p w14:paraId="23F83075" w14:textId="4D871E06" w:rsidR="00505F6A" w:rsidRPr="00887144" w:rsidRDefault="00407769">
      <w:pPr>
        <w:shd w:val="clear" w:color="auto" w:fill="FFFFFF"/>
        <w:ind w:left="160"/>
        <w:rPr>
          <w:b/>
          <w:bCs/>
          <w:color w:val="202124"/>
          <w:sz w:val="24"/>
          <w:szCs w:val="24"/>
          <w:highlight w:val="white"/>
        </w:rPr>
      </w:pPr>
      <w:r w:rsidRPr="00887144">
        <w:rPr>
          <w:b/>
          <w:bCs/>
          <w:color w:val="202124"/>
          <w:sz w:val="24"/>
          <w:szCs w:val="24"/>
          <w:highlight w:val="white"/>
        </w:rPr>
        <w:t>Competency 5: Ensuring First Nations, Métis and Inuit Education for All Students</w:t>
      </w:r>
    </w:p>
    <w:tbl>
      <w:tblPr>
        <w:tblStyle w:val="TableGrid"/>
        <w:tblW w:w="0" w:type="auto"/>
        <w:tblLook w:val="04A0" w:firstRow="1" w:lastRow="0" w:firstColumn="1" w:lastColumn="0" w:noHBand="0" w:noVBand="1"/>
      </w:tblPr>
      <w:tblGrid>
        <w:gridCol w:w="3116"/>
        <w:gridCol w:w="3117"/>
        <w:gridCol w:w="3117"/>
      </w:tblGrid>
      <w:tr w:rsidR="004D30AD" w:rsidRPr="004D30AD" w14:paraId="0B4FA4B9" w14:textId="77777777" w:rsidTr="00315F0B">
        <w:tc>
          <w:tcPr>
            <w:tcW w:w="3116" w:type="dxa"/>
          </w:tcPr>
          <w:p w14:paraId="24C88166" w14:textId="77777777" w:rsidR="004D30AD" w:rsidRPr="004D30AD" w:rsidRDefault="004D30AD" w:rsidP="004D30AD">
            <w:pPr>
              <w:shd w:val="clear" w:color="auto" w:fill="FFFFFF"/>
              <w:spacing w:after="160" w:line="259" w:lineRule="auto"/>
              <w:ind w:left="160"/>
              <w:jc w:val="center"/>
              <w:rPr>
                <w:color w:val="202124"/>
                <w:sz w:val="24"/>
                <w:szCs w:val="24"/>
                <w:highlight w:val="white"/>
              </w:rPr>
            </w:pPr>
            <w:r w:rsidRPr="004D30AD">
              <w:rPr>
                <w:color w:val="202124"/>
                <w:sz w:val="24"/>
                <w:szCs w:val="24"/>
                <w:highlight w:val="white"/>
              </w:rPr>
              <w:t>Priority 1</w:t>
            </w:r>
          </w:p>
        </w:tc>
        <w:tc>
          <w:tcPr>
            <w:tcW w:w="3117" w:type="dxa"/>
          </w:tcPr>
          <w:p w14:paraId="3B18DC3A" w14:textId="77777777" w:rsidR="004D30AD" w:rsidRPr="004D30AD" w:rsidRDefault="004D30AD" w:rsidP="004D30AD">
            <w:pPr>
              <w:shd w:val="clear" w:color="auto" w:fill="FFFFFF"/>
              <w:spacing w:after="160" w:line="259" w:lineRule="auto"/>
              <w:ind w:left="160"/>
              <w:jc w:val="center"/>
              <w:rPr>
                <w:color w:val="202124"/>
                <w:sz w:val="24"/>
                <w:szCs w:val="24"/>
                <w:highlight w:val="white"/>
              </w:rPr>
            </w:pPr>
            <w:r w:rsidRPr="004D30AD">
              <w:rPr>
                <w:color w:val="202124"/>
                <w:sz w:val="24"/>
                <w:szCs w:val="24"/>
                <w:highlight w:val="white"/>
              </w:rPr>
              <w:t>Priority 2</w:t>
            </w:r>
          </w:p>
        </w:tc>
        <w:tc>
          <w:tcPr>
            <w:tcW w:w="3117" w:type="dxa"/>
          </w:tcPr>
          <w:p w14:paraId="43C5836C" w14:textId="77777777" w:rsidR="004D30AD" w:rsidRPr="004D30AD" w:rsidRDefault="004D30AD" w:rsidP="004D30AD">
            <w:pPr>
              <w:shd w:val="clear" w:color="auto" w:fill="FFFFFF"/>
              <w:spacing w:after="160" w:line="259" w:lineRule="auto"/>
              <w:ind w:left="160"/>
              <w:jc w:val="center"/>
              <w:rPr>
                <w:color w:val="202124"/>
                <w:sz w:val="24"/>
                <w:szCs w:val="24"/>
                <w:highlight w:val="white"/>
              </w:rPr>
            </w:pPr>
            <w:r w:rsidRPr="004D30AD">
              <w:rPr>
                <w:color w:val="202124"/>
                <w:sz w:val="24"/>
                <w:szCs w:val="24"/>
                <w:highlight w:val="white"/>
              </w:rPr>
              <w:t>Priority 3</w:t>
            </w:r>
          </w:p>
        </w:tc>
      </w:tr>
      <w:tr w:rsidR="004D30AD" w:rsidRPr="004D30AD" w14:paraId="5491CC17" w14:textId="77777777" w:rsidTr="00315F0B">
        <w:tc>
          <w:tcPr>
            <w:tcW w:w="3116" w:type="dxa"/>
          </w:tcPr>
          <w:p w14:paraId="096F028F" w14:textId="464111AF" w:rsidR="004D30AD" w:rsidRPr="004D30AD" w:rsidRDefault="004D30AD" w:rsidP="004D30AD">
            <w:pPr>
              <w:shd w:val="clear" w:color="auto" w:fill="FFFFFF"/>
              <w:spacing w:after="160" w:line="259" w:lineRule="auto"/>
              <w:jc w:val="center"/>
              <w:rPr>
                <w:color w:val="202124"/>
                <w:sz w:val="24"/>
                <w:szCs w:val="24"/>
                <w:highlight w:val="white"/>
              </w:rPr>
            </w:pPr>
          </w:p>
        </w:tc>
        <w:tc>
          <w:tcPr>
            <w:tcW w:w="3117" w:type="dxa"/>
          </w:tcPr>
          <w:p w14:paraId="02C1E804" w14:textId="13E15330" w:rsidR="004D30AD" w:rsidRPr="004D30AD" w:rsidRDefault="004D30AD" w:rsidP="004D30AD">
            <w:pPr>
              <w:shd w:val="clear" w:color="auto" w:fill="FFFFFF"/>
              <w:spacing w:after="160" w:line="259" w:lineRule="auto"/>
              <w:jc w:val="center"/>
              <w:rPr>
                <w:color w:val="202124"/>
                <w:sz w:val="24"/>
                <w:szCs w:val="24"/>
                <w:highlight w:val="white"/>
              </w:rPr>
            </w:pPr>
          </w:p>
        </w:tc>
        <w:tc>
          <w:tcPr>
            <w:tcW w:w="3117" w:type="dxa"/>
          </w:tcPr>
          <w:p w14:paraId="63EEA08A" w14:textId="1F9E3844" w:rsidR="004D30AD" w:rsidRPr="004D30AD" w:rsidRDefault="004D30AD" w:rsidP="004D30AD">
            <w:pPr>
              <w:shd w:val="clear" w:color="auto" w:fill="FFFFFF"/>
              <w:spacing w:after="160" w:line="259" w:lineRule="auto"/>
              <w:jc w:val="center"/>
              <w:rPr>
                <w:color w:val="202124"/>
                <w:sz w:val="24"/>
                <w:szCs w:val="24"/>
                <w:highlight w:val="white"/>
              </w:rPr>
            </w:pPr>
          </w:p>
        </w:tc>
      </w:tr>
    </w:tbl>
    <w:p w14:paraId="08CC6843" w14:textId="495037B9" w:rsidR="004D30AD" w:rsidRDefault="004D30AD">
      <w:pPr>
        <w:shd w:val="clear" w:color="auto" w:fill="FFFFFF"/>
        <w:ind w:left="160"/>
        <w:rPr>
          <w:color w:val="202124"/>
          <w:sz w:val="24"/>
          <w:szCs w:val="24"/>
          <w:highlight w:val="white"/>
        </w:rPr>
      </w:pPr>
      <w:r>
        <w:rPr>
          <w:color w:val="202124"/>
          <w:sz w:val="24"/>
          <w:szCs w:val="24"/>
          <w:highlight w:val="white"/>
        </w:rPr>
        <w:t xml:space="preserve">Total </w:t>
      </w:r>
    </w:p>
    <w:p w14:paraId="23F83076" w14:textId="77777777" w:rsidR="00505F6A" w:rsidRDefault="00407769">
      <w:pPr>
        <w:shd w:val="clear" w:color="auto" w:fill="FFFFFF"/>
        <w:ind w:left="160"/>
        <w:rPr>
          <w:color w:val="202124"/>
          <w:sz w:val="24"/>
          <w:szCs w:val="24"/>
          <w:highlight w:val="white"/>
        </w:rPr>
      </w:pPr>
      <w:r>
        <w:rPr>
          <w:color w:val="202124"/>
          <w:sz w:val="24"/>
          <w:szCs w:val="24"/>
          <w:highlight w:val="white"/>
        </w:rPr>
        <w:t>A superintendent establishes the structures and provides the resources necessary for the school community to acquire and apply foundational knowledge about First Nations, Métis and Inuit for the benefit of all students.</w:t>
      </w:r>
    </w:p>
    <w:p w14:paraId="23F83077" w14:textId="7EBCDD79" w:rsidR="00505F6A" w:rsidRPr="00C67CB3" w:rsidRDefault="00407769">
      <w:pPr>
        <w:shd w:val="clear" w:color="auto" w:fill="FFFFFF"/>
        <w:ind w:left="160"/>
        <w:rPr>
          <w:b/>
          <w:bCs/>
          <w:color w:val="202124"/>
          <w:sz w:val="24"/>
          <w:szCs w:val="24"/>
        </w:rPr>
      </w:pPr>
      <w:r w:rsidRPr="00C67CB3">
        <w:rPr>
          <w:b/>
          <w:bCs/>
          <w:color w:val="202124"/>
          <w:sz w:val="24"/>
          <w:szCs w:val="24"/>
        </w:rPr>
        <w:t>Competency 6: School Authority Operations and Resources</w:t>
      </w:r>
    </w:p>
    <w:tbl>
      <w:tblPr>
        <w:tblStyle w:val="TableGrid"/>
        <w:tblW w:w="0" w:type="auto"/>
        <w:tblLook w:val="04A0" w:firstRow="1" w:lastRow="0" w:firstColumn="1" w:lastColumn="0" w:noHBand="0" w:noVBand="1"/>
      </w:tblPr>
      <w:tblGrid>
        <w:gridCol w:w="3116"/>
        <w:gridCol w:w="3117"/>
        <w:gridCol w:w="3117"/>
      </w:tblGrid>
      <w:tr w:rsidR="004D30AD" w:rsidRPr="004D30AD" w14:paraId="649D5397" w14:textId="77777777" w:rsidTr="00315F0B">
        <w:tc>
          <w:tcPr>
            <w:tcW w:w="3116" w:type="dxa"/>
          </w:tcPr>
          <w:p w14:paraId="590C5701" w14:textId="77777777" w:rsidR="004D30AD" w:rsidRPr="004D30AD" w:rsidRDefault="004D30AD" w:rsidP="004D30AD">
            <w:pPr>
              <w:shd w:val="clear" w:color="auto" w:fill="FFFFFF"/>
              <w:spacing w:after="160" w:line="259" w:lineRule="auto"/>
              <w:ind w:left="160"/>
              <w:jc w:val="center"/>
              <w:rPr>
                <w:color w:val="202124"/>
                <w:sz w:val="24"/>
                <w:szCs w:val="24"/>
                <w:highlight w:val="white"/>
              </w:rPr>
            </w:pPr>
            <w:r w:rsidRPr="004D30AD">
              <w:rPr>
                <w:color w:val="202124"/>
                <w:sz w:val="24"/>
                <w:szCs w:val="24"/>
                <w:highlight w:val="white"/>
              </w:rPr>
              <w:t>Priority 1</w:t>
            </w:r>
          </w:p>
        </w:tc>
        <w:tc>
          <w:tcPr>
            <w:tcW w:w="3117" w:type="dxa"/>
          </w:tcPr>
          <w:p w14:paraId="4972B760" w14:textId="77777777" w:rsidR="004D30AD" w:rsidRPr="004D30AD" w:rsidRDefault="004D30AD" w:rsidP="004D30AD">
            <w:pPr>
              <w:shd w:val="clear" w:color="auto" w:fill="FFFFFF"/>
              <w:spacing w:after="160" w:line="259" w:lineRule="auto"/>
              <w:ind w:left="160"/>
              <w:jc w:val="center"/>
              <w:rPr>
                <w:color w:val="202124"/>
                <w:sz w:val="24"/>
                <w:szCs w:val="24"/>
                <w:highlight w:val="white"/>
              </w:rPr>
            </w:pPr>
            <w:r w:rsidRPr="004D30AD">
              <w:rPr>
                <w:color w:val="202124"/>
                <w:sz w:val="24"/>
                <w:szCs w:val="24"/>
                <w:highlight w:val="white"/>
              </w:rPr>
              <w:t>Priority 2</w:t>
            </w:r>
          </w:p>
        </w:tc>
        <w:tc>
          <w:tcPr>
            <w:tcW w:w="3117" w:type="dxa"/>
          </w:tcPr>
          <w:p w14:paraId="50F1BAEF" w14:textId="77777777" w:rsidR="004D30AD" w:rsidRPr="004D30AD" w:rsidRDefault="004D30AD" w:rsidP="004D30AD">
            <w:pPr>
              <w:shd w:val="clear" w:color="auto" w:fill="FFFFFF"/>
              <w:spacing w:after="160" w:line="259" w:lineRule="auto"/>
              <w:ind w:left="160"/>
              <w:jc w:val="center"/>
              <w:rPr>
                <w:color w:val="202124"/>
                <w:sz w:val="24"/>
                <w:szCs w:val="24"/>
                <w:highlight w:val="white"/>
              </w:rPr>
            </w:pPr>
            <w:r w:rsidRPr="004D30AD">
              <w:rPr>
                <w:color w:val="202124"/>
                <w:sz w:val="24"/>
                <w:szCs w:val="24"/>
                <w:highlight w:val="white"/>
              </w:rPr>
              <w:t>Priority 3</w:t>
            </w:r>
          </w:p>
        </w:tc>
      </w:tr>
      <w:tr w:rsidR="004D30AD" w:rsidRPr="004D30AD" w14:paraId="4E9CC167" w14:textId="77777777" w:rsidTr="00315F0B">
        <w:tc>
          <w:tcPr>
            <w:tcW w:w="3116" w:type="dxa"/>
          </w:tcPr>
          <w:p w14:paraId="029CAFDC" w14:textId="4D5190C3" w:rsidR="004D30AD" w:rsidRPr="004D30AD" w:rsidRDefault="004D30AD" w:rsidP="004D30AD">
            <w:pPr>
              <w:shd w:val="clear" w:color="auto" w:fill="FFFFFF"/>
              <w:spacing w:after="160" w:line="259" w:lineRule="auto"/>
              <w:ind w:left="160"/>
              <w:rPr>
                <w:color w:val="202124"/>
                <w:sz w:val="24"/>
                <w:szCs w:val="24"/>
                <w:highlight w:val="white"/>
              </w:rPr>
            </w:pPr>
          </w:p>
        </w:tc>
        <w:tc>
          <w:tcPr>
            <w:tcW w:w="3117" w:type="dxa"/>
          </w:tcPr>
          <w:p w14:paraId="501342E5" w14:textId="32AA60D5" w:rsidR="004D30AD" w:rsidRPr="004D30AD" w:rsidRDefault="004D30AD" w:rsidP="004D30AD">
            <w:pPr>
              <w:shd w:val="clear" w:color="auto" w:fill="FFFFFF"/>
              <w:spacing w:after="160" w:line="259" w:lineRule="auto"/>
              <w:rPr>
                <w:color w:val="202124"/>
                <w:sz w:val="24"/>
                <w:szCs w:val="24"/>
                <w:highlight w:val="white"/>
              </w:rPr>
            </w:pPr>
          </w:p>
        </w:tc>
        <w:tc>
          <w:tcPr>
            <w:tcW w:w="3117" w:type="dxa"/>
          </w:tcPr>
          <w:p w14:paraId="0DFA18F9" w14:textId="0FAB1DFE" w:rsidR="004D30AD" w:rsidRPr="004D30AD" w:rsidRDefault="004D30AD" w:rsidP="004D30AD">
            <w:pPr>
              <w:shd w:val="clear" w:color="auto" w:fill="FFFFFF"/>
              <w:spacing w:after="160" w:line="259" w:lineRule="auto"/>
              <w:jc w:val="center"/>
              <w:rPr>
                <w:color w:val="202124"/>
                <w:sz w:val="24"/>
                <w:szCs w:val="24"/>
                <w:highlight w:val="white"/>
              </w:rPr>
            </w:pPr>
          </w:p>
        </w:tc>
      </w:tr>
    </w:tbl>
    <w:p w14:paraId="22EF7FF3" w14:textId="4D2B6A52" w:rsidR="004D30AD" w:rsidRDefault="004D30AD">
      <w:pPr>
        <w:shd w:val="clear" w:color="auto" w:fill="FFFFFF"/>
        <w:ind w:left="160"/>
        <w:rPr>
          <w:color w:val="202124"/>
          <w:sz w:val="24"/>
          <w:szCs w:val="24"/>
          <w:highlight w:val="white"/>
        </w:rPr>
      </w:pPr>
      <w:r>
        <w:rPr>
          <w:color w:val="202124"/>
          <w:sz w:val="24"/>
          <w:szCs w:val="24"/>
          <w:highlight w:val="white"/>
        </w:rPr>
        <w:t xml:space="preserve">Total </w:t>
      </w:r>
    </w:p>
    <w:p w14:paraId="23F83078" w14:textId="77777777" w:rsidR="00505F6A" w:rsidRDefault="00407769">
      <w:pPr>
        <w:shd w:val="clear" w:color="auto" w:fill="FFFFFF"/>
        <w:ind w:left="160"/>
        <w:rPr>
          <w:color w:val="202124"/>
          <w:sz w:val="24"/>
          <w:szCs w:val="24"/>
          <w:highlight w:val="white"/>
        </w:rPr>
      </w:pPr>
      <w:r>
        <w:rPr>
          <w:color w:val="202124"/>
          <w:sz w:val="24"/>
          <w:szCs w:val="24"/>
          <w:highlight w:val="white"/>
        </w:rPr>
        <w:t>A superintendent directs school authority operations and strategically allocates resources in the interests of all students and in alignment with the school authority’s goals and priorities.</w:t>
      </w:r>
    </w:p>
    <w:p w14:paraId="23F83079" w14:textId="675CC706" w:rsidR="00505F6A" w:rsidRPr="00C15456" w:rsidRDefault="00407769">
      <w:pPr>
        <w:shd w:val="clear" w:color="auto" w:fill="FFFFFF"/>
        <w:ind w:left="160"/>
        <w:rPr>
          <w:b/>
          <w:bCs/>
          <w:color w:val="202124"/>
          <w:sz w:val="24"/>
          <w:szCs w:val="24"/>
          <w:highlight w:val="white"/>
        </w:rPr>
      </w:pPr>
      <w:r w:rsidRPr="00C15456">
        <w:rPr>
          <w:b/>
          <w:bCs/>
          <w:color w:val="202124"/>
          <w:sz w:val="24"/>
          <w:szCs w:val="24"/>
          <w:highlight w:val="white"/>
        </w:rPr>
        <w:t>Competency 7: Supportive Effective Governance</w:t>
      </w:r>
    </w:p>
    <w:tbl>
      <w:tblPr>
        <w:tblStyle w:val="TableGrid"/>
        <w:tblW w:w="0" w:type="auto"/>
        <w:tblLook w:val="04A0" w:firstRow="1" w:lastRow="0" w:firstColumn="1" w:lastColumn="0" w:noHBand="0" w:noVBand="1"/>
      </w:tblPr>
      <w:tblGrid>
        <w:gridCol w:w="3116"/>
        <w:gridCol w:w="3117"/>
        <w:gridCol w:w="3117"/>
      </w:tblGrid>
      <w:tr w:rsidR="004D30AD" w:rsidRPr="004D30AD" w14:paraId="79647C28" w14:textId="77777777" w:rsidTr="00315F0B">
        <w:tc>
          <w:tcPr>
            <w:tcW w:w="3116" w:type="dxa"/>
          </w:tcPr>
          <w:p w14:paraId="5B9C068D" w14:textId="77777777" w:rsidR="004D30AD" w:rsidRPr="004D30AD" w:rsidRDefault="004D30AD" w:rsidP="004D30AD">
            <w:pPr>
              <w:shd w:val="clear" w:color="auto" w:fill="FFFFFF"/>
              <w:spacing w:after="160" w:line="259" w:lineRule="auto"/>
              <w:ind w:left="160"/>
              <w:jc w:val="center"/>
              <w:rPr>
                <w:color w:val="202124"/>
                <w:sz w:val="24"/>
                <w:szCs w:val="24"/>
                <w:highlight w:val="white"/>
              </w:rPr>
            </w:pPr>
            <w:r w:rsidRPr="004D30AD">
              <w:rPr>
                <w:color w:val="202124"/>
                <w:sz w:val="24"/>
                <w:szCs w:val="24"/>
                <w:highlight w:val="white"/>
              </w:rPr>
              <w:t>Priority 1</w:t>
            </w:r>
          </w:p>
        </w:tc>
        <w:tc>
          <w:tcPr>
            <w:tcW w:w="3117" w:type="dxa"/>
          </w:tcPr>
          <w:p w14:paraId="0BB4301C" w14:textId="77777777" w:rsidR="004D30AD" w:rsidRPr="004D30AD" w:rsidRDefault="004D30AD" w:rsidP="004D30AD">
            <w:pPr>
              <w:shd w:val="clear" w:color="auto" w:fill="FFFFFF"/>
              <w:spacing w:after="160" w:line="259" w:lineRule="auto"/>
              <w:ind w:left="160"/>
              <w:jc w:val="center"/>
              <w:rPr>
                <w:color w:val="202124"/>
                <w:sz w:val="24"/>
                <w:szCs w:val="24"/>
                <w:highlight w:val="white"/>
              </w:rPr>
            </w:pPr>
            <w:r w:rsidRPr="004D30AD">
              <w:rPr>
                <w:color w:val="202124"/>
                <w:sz w:val="24"/>
                <w:szCs w:val="24"/>
                <w:highlight w:val="white"/>
              </w:rPr>
              <w:t>Priority 2</w:t>
            </w:r>
          </w:p>
        </w:tc>
        <w:tc>
          <w:tcPr>
            <w:tcW w:w="3117" w:type="dxa"/>
          </w:tcPr>
          <w:p w14:paraId="1AA65055" w14:textId="77777777" w:rsidR="004D30AD" w:rsidRPr="004D30AD" w:rsidRDefault="004D30AD" w:rsidP="004D30AD">
            <w:pPr>
              <w:shd w:val="clear" w:color="auto" w:fill="FFFFFF"/>
              <w:spacing w:after="160" w:line="259" w:lineRule="auto"/>
              <w:ind w:left="160"/>
              <w:jc w:val="center"/>
              <w:rPr>
                <w:color w:val="202124"/>
                <w:sz w:val="24"/>
                <w:szCs w:val="24"/>
                <w:highlight w:val="white"/>
              </w:rPr>
            </w:pPr>
            <w:r w:rsidRPr="004D30AD">
              <w:rPr>
                <w:color w:val="202124"/>
                <w:sz w:val="24"/>
                <w:szCs w:val="24"/>
                <w:highlight w:val="white"/>
              </w:rPr>
              <w:t>Priority 3</w:t>
            </w:r>
          </w:p>
        </w:tc>
      </w:tr>
      <w:tr w:rsidR="004D30AD" w:rsidRPr="004D30AD" w14:paraId="55436D1B" w14:textId="77777777" w:rsidTr="00315F0B">
        <w:tc>
          <w:tcPr>
            <w:tcW w:w="3116" w:type="dxa"/>
          </w:tcPr>
          <w:p w14:paraId="1EFBFBFA" w14:textId="159AB1B2" w:rsidR="004D30AD" w:rsidRPr="004D30AD" w:rsidRDefault="004D30AD" w:rsidP="004D30AD">
            <w:pPr>
              <w:shd w:val="clear" w:color="auto" w:fill="FFFFFF"/>
              <w:spacing w:after="160" w:line="259" w:lineRule="auto"/>
              <w:ind w:left="160"/>
              <w:rPr>
                <w:color w:val="202124"/>
                <w:sz w:val="24"/>
                <w:szCs w:val="24"/>
                <w:highlight w:val="white"/>
              </w:rPr>
            </w:pPr>
          </w:p>
        </w:tc>
        <w:tc>
          <w:tcPr>
            <w:tcW w:w="3117" w:type="dxa"/>
          </w:tcPr>
          <w:p w14:paraId="43FE5999" w14:textId="6BA5FEDD" w:rsidR="004D30AD" w:rsidRPr="004D30AD" w:rsidRDefault="004D30AD" w:rsidP="004D30AD">
            <w:pPr>
              <w:shd w:val="clear" w:color="auto" w:fill="FFFFFF"/>
              <w:spacing w:after="160" w:line="259" w:lineRule="auto"/>
              <w:rPr>
                <w:color w:val="202124"/>
                <w:sz w:val="24"/>
                <w:szCs w:val="24"/>
                <w:highlight w:val="white"/>
              </w:rPr>
            </w:pPr>
          </w:p>
        </w:tc>
        <w:tc>
          <w:tcPr>
            <w:tcW w:w="3117" w:type="dxa"/>
          </w:tcPr>
          <w:p w14:paraId="0FC009C4" w14:textId="20B8DB5E" w:rsidR="004D30AD" w:rsidRPr="004D30AD" w:rsidRDefault="004D30AD" w:rsidP="007C1C55">
            <w:pPr>
              <w:shd w:val="clear" w:color="auto" w:fill="FFFFFF"/>
              <w:spacing w:after="160" w:line="259" w:lineRule="auto"/>
              <w:jc w:val="center"/>
              <w:rPr>
                <w:color w:val="202124"/>
                <w:sz w:val="24"/>
                <w:szCs w:val="24"/>
                <w:highlight w:val="white"/>
              </w:rPr>
            </w:pPr>
          </w:p>
        </w:tc>
      </w:tr>
    </w:tbl>
    <w:p w14:paraId="12D6F5AF" w14:textId="6A9FAE56" w:rsidR="004D30AD" w:rsidRDefault="004D30AD">
      <w:pPr>
        <w:shd w:val="clear" w:color="auto" w:fill="FFFFFF"/>
        <w:ind w:left="160"/>
        <w:rPr>
          <w:color w:val="202124"/>
          <w:sz w:val="24"/>
          <w:szCs w:val="24"/>
          <w:highlight w:val="white"/>
        </w:rPr>
      </w:pPr>
      <w:r>
        <w:rPr>
          <w:color w:val="202124"/>
          <w:sz w:val="24"/>
          <w:szCs w:val="24"/>
          <w:highlight w:val="white"/>
        </w:rPr>
        <w:t xml:space="preserve">Total </w:t>
      </w:r>
    </w:p>
    <w:p w14:paraId="23F8307A" w14:textId="77777777" w:rsidR="00505F6A" w:rsidRDefault="00407769">
      <w:pPr>
        <w:shd w:val="clear" w:color="auto" w:fill="FFFFFF"/>
        <w:ind w:left="160"/>
        <w:rPr>
          <w:color w:val="202124"/>
          <w:sz w:val="24"/>
          <w:szCs w:val="24"/>
          <w:highlight w:val="white"/>
        </w:rPr>
      </w:pPr>
      <w:r>
        <w:rPr>
          <w:color w:val="202124"/>
          <w:sz w:val="24"/>
          <w:szCs w:val="24"/>
          <w:highlight w:val="white"/>
        </w:rPr>
        <w:t xml:space="preserve">A superintendent of schools as referred to in the </w:t>
      </w:r>
      <w:r>
        <w:rPr>
          <w:i/>
          <w:color w:val="202124"/>
          <w:sz w:val="24"/>
          <w:szCs w:val="24"/>
          <w:highlight w:val="white"/>
        </w:rPr>
        <w:t>Education Act</w:t>
      </w:r>
      <w:r>
        <w:rPr>
          <w:color w:val="202124"/>
          <w:sz w:val="24"/>
          <w:szCs w:val="24"/>
          <w:highlight w:val="white"/>
        </w:rPr>
        <w:t>, as chief executive officer of the board and chief education officer of the school authority, provides the board with information, advice and support required for the fulfillment of its governance role, and reports to the Minister on all matters required of the superintendent as identified in the Education Act and other provincial legislation.</w:t>
      </w:r>
    </w:p>
    <w:p w14:paraId="23F8307C" w14:textId="77777777" w:rsidR="00505F6A" w:rsidRDefault="00407769" w:rsidP="004116A3">
      <w:pPr>
        <w:ind w:left="160"/>
        <w:rPr>
          <w:color w:val="202124"/>
          <w:sz w:val="24"/>
          <w:szCs w:val="24"/>
          <w:highlight w:val="white"/>
        </w:rPr>
      </w:pPr>
      <w:r>
        <w:rPr>
          <w:color w:val="202124"/>
          <w:sz w:val="24"/>
          <w:szCs w:val="24"/>
          <w:highlight w:val="white"/>
        </w:rPr>
        <w:t xml:space="preserve">Please provide a rationale for your choices. You may wish to include examples to illustrate your reasons for choosing these 3 competencies. </w:t>
      </w:r>
    </w:p>
    <w:p w14:paraId="23F8307F" w14:textId="77777777" w:rsidR="00505F6A" w:rsidRDefault="004116A3">
      <w:pPr>
        <w:rPr>
          <w:color w:val="202124"/>
          <w:sz w:val="24"/>
          <w:szCs w:val="24"/>
          <w:highlight w:val="white"/>
        </w:rPr>
      </w:pPr>
      <w:r>
        <w:pict w14:anchorId="23F8308C">
          <v:rect id="_x0000_i1025" style="width:0;height:1.5pt" o:hralign="center" o:hrstd="t" o:hr="t" fillcolor="#a0a0a0" stroked="f"/>
        </w:pict>
      </w:r>
    </w:p>
    <w:p w14:paraId="23F83080" w14:textId="77777777" w:rsidR="00505F6A" w:rsidRDefault="00505F6A">
      <w:pPr>
        <w:rPr>
          <w:color w:val="202124"/>
          <w:sz w:val="24"/>
          <w:szCs w:val="24"/>
          <w:highlight w:val="white"/>
        </w:rPr>
      </w:pPr>
    </w:p>
    <w:p w14:paraId="23F83081" w14:textId="77777777" w:rsidR="00505F6A" w:rsidRDefault="004116A3">
      <w:pPr>
        <w:rPr>
          <w:color w:val="202124"/>
          <w:sz w:val="24"/>
          <w:szCs w:val="24"/>
          <w:highlight w:val="white"/>
        </w:rPr>
      </w:pPr>
      <w:r>
        <w:pict w14:anchorId="23F8308D">
          <v:rect id="_x0000_i1026" style="width:0;height:1.5pt" o:hralign="center" o:hrstd="t" o:hr="t" fillcolor="#a0a0a0" stroked="f"/>
        </w:pict>
      </w:r>
    </w:p>
    <w:p w14:paraId="23F83082" w14:textId="77777777" w:rsidR="00505F6A" w:rsidRDefault="00505F6A">
      <w:pPr>
        <w:rPr>
          <w:color w:val="202124"/>
          <w:sz w:val="24"/>
          <w:szCs w:val="24"/>
          <w:highlight w:val="white"/>
        </w:rPr>
      </w:pPr>
    </w:p>
    <w:p w14:paraId="23F83083" w14:textId="77777777" w:rsidR="00505F6A" w:rsidRDefault="004116A3">
      <w:pPr>
        <w:rPr>
          <w:color w:val="202124"/>
          <w:sz w:val="24"/>
          <w:szCs w:val="24"/>
          <w:highlight w:val="white"/>
        </w:rPr>
      </w:pPr>
      <w:r>
        <w:pict w14:anchorId="23F8308E">
          <v:rect id="_x0000_i1027" style="width:0;height:1.5pt" o:hralign="center" o:hrstd="t" o:hr="t" fillcolor="#a0a0a0" stroked="f"/>
        </w:pict>
      </w:r>
    </w:p>
    <w:p w14:paraId="23F83084" w14:textId="77777777" w:rsidR="00505F6A" w:rsidRDefault="00505F6A">
      <w:pPr>
        <w:rPr>
          <w:color w:val="202124"/>
          <w:sz w:val="24"/>
          <w:szCs w:val="24"/>
          <w:highlight w:val="white"/>
        </w:rPr>
      </w:pPr>
    </w:p>
    <w:p w14:paraId="23F83085" w14:textId="77777777" w:rsidR="00505F6A" w:rsidRDefault="004116A3">
      <w:pPr>
        <w:rPr>
          <w:color w:val="202124"/>
          <w:sz w:val="24"/>
          <w:szCs w:val="24"/>
          <w:highlight w:val="white"/>
        </w:rPr>
      </w:pPr>
      <w:r>
        <w:pict w14:anchorId="23F8308F">
          <v:rect id="_x0000_i1028" style="width:0;height:1.5pt" o:hralign="center" o:hrstd="t" o:hr="t" fillcolor="#a0a0a0" stroked="f"/>
        </w:pict>
      </w:r>
    </w:p>
    <w:p w14:paraId="23F83086" w14:textId="77777777" w:rsidR="00505F6A" w:rsidRDefault="00505F6A">
      <w:pPr>
        <w:rPr>
          <w:color w:val="202124"/>
          <w:sz w:val="24"/>
          <w:szCs w:val="24"/>
          <w:highlight w:val="white"/>
        </w:rPr>
      </w:pPr>
    </w:p>
    <w:p w14:paraId="23F83087" w14:textId="77777777" w:rsidR="00505F6A" w:rsidRDefault="004116A3">
      <w:pPr>
        <w:rPr>
          <w:color w:val="202124"/>
          <w:sz w:val="24"/>
          <w:szCs w:val="24"/>
          <w:highlight w:val="white"/>
        </w:rPr>
      </w:pPr>
      <w:r>
        <w:pict w14:anchorId="23F83090">
          <v:rect id="_x0000_i1029" style="width:0;height:1.5pt" o:hralign="center" o:hrstd="t" o:hr="t" fillcolor="#a0a0a0" stroked="f"/>
        </w:pict>
      </w:r>
    </w:p>
    <w:p w14:paraId="23F83088" w14:textId="77777777" w:rsidR="00505F6A" w:rsidRDefault="00505F6A">
      <w:pPr>
        <w:rPr>
          <w:color w:val="202124"/>
          <w:sz w:val="24"/>
          <w:szCs w:val="24"/>
          <w:highlight w:val="white"/>
        </w:rPr>
      </w:pPr>
    </w:p>
    <w:p w14:paraId="23F83089" w14:textId="77777777" w:rsidR="00505F6A" w:rsidRDefault="004116A3">
      <w:pPr>
        <w:rPr>
          <w:color w:val="202124"/>
          <w:sz w:val="24"/>
          <w:szCs w:val="24"/>
          <w:highlight w:val="white"/>
        </w:rPr>
      </w:pPr>
      <w:r>
        <w:pict w14:anchorId="23F83091">
          <v:rect id="_x0000_i1030" style="width:0;height:1.5pt" o:hralign="center" o:hrstd="t" o:hr="t" fillcolor="#a0a0a0" stroked="f"/>
        </w:pict>
      </w:r>
    </w:p>
    <w:p w14:paraId="23F8308A" w14:textId="77777777" w:rsidR="00505F6A" w:rsidRDefault="00505F6A">
      <w:pPr>
        <w:rPr>
          <w:color w:val="202124"/>
          <w:sz w:val="24"/>
          <w:szCs w:val="24"/>
          <w:highlight w:val="white"/>
        </w:rPr>
      </w:pPr>
    </w:p>
    <w:p w14:paraId="23F8308B" w14:textId="77777777" w:rsidR="00505F6A" w:rsidRDefault="00505F6A"/>
    <w:sectPr w:rsidR="00505F6A">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embedRegular r:id="rId1" w:fontKey="{B3F3102F-BE2E-482A-A868-9DDC345683CC}"/>
    <w:embedBold r:id="rId2" w:fontKey="{7CEAB329-D69F-483C-B53C-9A1E86BBCA48}"/>
    <w:embedItalic r:id="rId3" w:fontKey="{509922F7-85F0-4878-B310-C2CFB580789B}"/>
  </w:font>
  <w:font w:name="Aptos Display">
    <w:charset w:val="00"/>
    <w:family w:val="swiss"/>
    <w:pitch w:val="variable"/>
    <w:sig w:usb0="20000287" w:usb1="00000003" w:usb2="00000000" w:usb3="00000000" w:csb0="0000019F" w:csb1="00000000"/>
    <w:embedRegular r:id="rId4" w:fontKey="{78ECB70F-565F-4CFE-B519-46A5843B34CC}"/>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6A"/>
    <w:rsid w:val="00062C5E"/>
    <w:rsid w:val="00072CF3"/>
    <w:rsid w:val="000B5886"/>
    <w:rsid w:val="001F018E"/>
    <w:rsid w:val="0023159B"/>
    <w:rsid w:val="00371EB5"/>
    <w:rsid w:val="0039122E"/>
    <w:rsid w:val="003C0A48"/>
    <w:rsid w:val="003F2501"/>
    <w:rsid w:val="00407769"/>
    <w:rsid w:val="00407D8C"/>
    <w:rsid w:val="00407FBD"/>
    <w:rsid w:val="004116A3"/>
    <w:rsid w:val="00476A76"/>
    <w:rsid w:val="004A4455"/>
    <w:rsid w:val="004C1341"/>
    <w:rsid w:val="004D30AD"/>
    <w:rsid w:val="00505F6A"/>
    <w:rsid w:val="00533255"/>
    <w:rsid w:val="00582C85"/>
    <w:rsid w:val="005C06F3"/>
    <w:rsid w:val="005D6B05"/>
    <w:rsid w:val="006247F0"/>
    <w:rsid w:val="00624862"/>
    <w:rsid w:val="00667D4A"/>
    <w:rsid w:val="00743B62"/>
    <w:rsid w:val="007650D5"/>
    <w:rsid w:val="0077266B"/>
    <w:rsid w:val="00774A20"/>
    <w:rsid w:val="0078273A"/>
    <w:rsid w:val="00787D78"/>
    <w:rsid w:val="007B4AFB"/>
    <w:rsid w:val="007C1C55"/>
    <w:rsid w:val="00887144"/>
    <w:rsid w:val="009801F5"/>
    <w:rsid w:val="009A2504"/>
    <w:rsid w:val="009D0874"/>
    <w:rsid w:val="00AC2E28"/>
    <w:rsid w:val="00AD1D0F"/>
    <w:rsid w:val="00AF3044"/>
    <w:rsid w:val="00B0401F"/>
    <w:rsid w:val="00C15456"/>
    <w:rsid w:val="00C43351"/>
    <w:rsid w:val="00C52100"/>
    <w:rsid w:val="00C67CB3"/>
    <w:rsid w:val="00C9671E"/>
    <w:rsid w:val="00D04A85"/>
    <w:rsid w:val="00D25D88"/>
    <w:rsid w:val="00DC5D7D"/>
    <w:rsid w:val="00E36A44"/>
    <w:rsid w:val="00E63810"/>
    <w:rsid w:val="00F8312B"/>
    <w:rsid w:val="00FC50B3"/>
    <w:rsid w:val="00FD21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306B"/>
  <w15:docId w15:val="{5B9190E3-3D1C-4733-816B-4D471004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0AD"/>
  </w:style>
  <w:style w:type="paragraph" w:styleId="Heading1">
    <w:name w:val="heading 1"/>
    <w:basedOn w:val="Normal"/>
    <w:next w:val="Normal"/>
    <w:link w:val="Heading1Char"/>
    <w:uiPriority w:val="9"/>
    <w:qFormat/>
    <w:rsid w:val="005A0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0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A0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915"/>
    <w:rPr>
      <w:rFonts w:eastAsiaTheme="majorEastAsia" w:cstheme="majorBidi"/>
      <w:color w:val="272727" w:themeColor="text1" w:themeTint="D8"/>
    </w:rPr>
  </w:style>
  <w:style w:type="character" w:customStyle="1" w:styleId="TitleChar">
    <w:name w:val="Title Char"/>
    <w:basedOn w:val="DefaultParagraphFont"/>
    <w:link w:val="Title"/>
    <w:uiPriority w:val="10"/>
    <w:rsid w:val="005A0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5A0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915"/>
    <w:pPr>
      <w:spacing w:before="160"/>
      <w:jc w:val="center"/>
    </w:pPr>
    <w:rPr>
      <w:i/>
      <w:iCs/>
      <w:color w:val="404040" w:themeColor="text1" w:themeTint="BF"/>
    </w:rPr>
  </w:style>
  <w:style w:type="character" w:customStyle="1" w:styleId="QuoteChar">
    <w:name w:val="Quote Char"/>
    <w:basedOn w:val="DefaultParagraphFont"/>
    <w:link w:val="Quote"/>
    <w:uiPriority w:val="29"/>
    <w:rsid w:val="005A0915"/>
    <w:rPr>
      <w:i/>
      <w:iCs/>
      <w:color w:val="404040" w:themeColor="text1" w:themeTint="BF"/>
    </w:rPr>
  </w:style>
  <w:style w:type="paragraph" w:styleId="ListParagraph">
    <w:name w:val="List Paragraph"/>
    <w:basedOn w:val="Normal"/>
    <w:uiPriority w:val="34"/>
    <w:qFormat/>
    <w:rsid w:val="005A0915"/>
    <w:pPr>
      <w:ind w:left="720"/>
      <w:contextualSpacing/>
    </w:pPr>
  </w:style>
  <w:style w:type="character" w:styleId="IntenseEmphasis">
    <w:name w:val="Intense Emphasis"/>
    <w:basedOn w:val="DefaultParagraphFont"/>
    <w:uiPriority w:val="21"/>
    <w:qFormat/>
    <w:rsid w:val="005A0915"/>
    <w:rPr>
      <w:i/>
      <w:iCs/>
      <w:color w:val="0F4761" w:themeColor="accent1" w:themeShade="BF"/>
    </w:rPr>
  </w:style>
  <w:style w:type="paragraph" w:styleId="IntenseQuote">
    <w:name w:val="Intense Quote"/>
    <w:basedOn w:val="Normal"/>
    <w:next w:val="Normal"/>
    <w:link w:val="IntenseQuoteChar"/>
    <w:uiPriority w:val="30"/>
    <w:qFormat/>
    <w:rsid w:val="005A0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915"/>
    <w:rPr>
      <w:i/>
      <w:iCs/>
      <w:color w:val="0F4761" w:themeColor="accent1" w:themeShade="BF"/>
    </w:rPr>
  </w:style>
  <w:style w:type="character" w:styleId="IntenseReference">
    <w:name w:val="Intense Reference"/>
    <w:basedOn w:val="DefaultParagraphFont"/>
    <w:uiPriority w:val="32"/>
    <w:qFormat/>
    <w:rsid w:val="005A0915"/>
    <w:rPr>
      <w:b/>
      <w:bCs/>
      <w:smallCaps/>
      <w:color w:val="0F4761" w:themeColor="accent1" w:themeShade="BF"/>
      <w:spacing w:val="5"/>
    </w:rPr>
  </w:style>
  <w:style w:type="table" w:styleId="TableGrid">
    <w:name w:val="Table Grid"/>
    <w:basedOn w:val="TableNormal"/>
    <w:uiPriority w:val="39"/>
    <w:rsid w:val="003F2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hgCfwCB4oz2fxJH2H3q7GHcG3w==">CgMxLjA4AHIhMXdIMzZObDBDT1RtdDJKX2s3VEw2eEt2ZlNxaGZUekk1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callaghan</dc:creator>
  <cp:lastModifiedBy>Nikki Gilks</cp:lastModifiedBy>
  <cp:revision>2</cp:revision>
  <dcterms:created xsi:type="dcterms:W3CDTF">2024-11-13T19:41:00Z</dcterms:created>
  <dcterms:modified xsi:type="dcterms:W3CDTF">2024-11-13T19:41:00Z</dcterms:modified>
</cp:coreProperties>
</file>